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8D" w:rsidRPr="00AD278D" w:rsidRDefault="00AD278D" w:rsidP="00AD278D">
      <w:pPr>
        <w:pBdr>
          <w:bottom w:val="single" w:sz="4" w:space="1" w:color="auto"/>
        </w:pBdr>
        <w:spacing w:after="0" w:line="276" w:lineRule="auto"/>
        <w:rPr>
          <w:rFonts w:cs="Times New Roman"/>
          <w:b/>
          <w:szCs w:val="20"/>
          <w:lang w:val="en-US"/>
        </w:rPr>
      </w:pPr>
      <w:bookmarkStart w:id="0" w:name="_GoBack"/>
      <w:bookmarkEnd w:id="0"/>
      <w:r w:rsidRPr="00AD278D">
        <w:rPr>
          <w:rFonts w:cs="Times New Roman"/>
          <w:b/>
          <w:szCs w:val="20"/>
          <w:lang w:val="en-US"/>
        </w:rPr>
        <w:t>Art. 30bis W. 2 augustus 2002</w:t>
      </w:r>
    </w:p>
    <w:p w:rsidR="0034743F" w:rsidRDefault="0034743F" w:rsidP="00253E6B">
      <w:pPr>
        <w:spacing w:after="0" w:line="276" w:lineRule="auto"/>
        <w:contextualSpacing/>
        <w:rPr>
          <w:rFonts w:cs="Times New Roman"/>
          <w:b/>
          <w:szCs w:val="20"/>
          <w:lang w:val="en-US"/>
        </w:rPr>
      </w:pPr>
    </w:p>
    <w:p w:rsidR="00BC1871" w:rsidRPr="00BC1871" w:rsidRDefault="009F6533" w:rsidP="00253E6B">
      <w:pPr>
        <w:spacing w:after="0" w:line="276" w:lineRule="auto"/>
        <w:contextualSpacing/>
        <w:rPr>
          <w:rFonts w:cs="Times New Roman"/>
          <w:b/>
          <w:szCs w:val="20"/>
        </w:rPr>
      </w:pPr>
      <w:r w:rsidRPr="00AD278D">
        <w:rPr>
          <w:rFonts w:cs="Times New Roman"/>
          <w:b/>
          <w:szCs w:val="20"/>
          <w:lang w:val="en-US"/>
        </w:rPr>
        <w:t xml:space="preserve">30bis. </w:t>
      </w:r>
      <w:r w:rsidRPr="00BC1871">
        <w:rPr>
          <w:rFonts w:cs="Times New Roman"/>
          <w:b/>
          <w:szCs w:val="20"/>
        </w:rPr>
        <w:t>Onverminderd de artikelen 39 tot 43 van Verordening 600/2014, op advies van de raad van toezicht</w:t>
      </w:r>
      <w:r w:rsidR="00405B57">
        <w:rPr>
          <w:rFonts w:cs="Times New Roman"/>
          <w:b/>
          <w:szCs w:val="20"/>
        </w:rPr>
        <w:t xml:space="preserve"> </w:t>
      </w:r>
      <w:r w:rsidRPr="00BC1871">
        <w:rPr>
          <w:rFonts w:cs="Times New Roman"/>
          <w:b/>
          <w:szCs w:val="20"/>
        </w:rPr>
        <w:t>en na minstens een maand op voorhand de bijzondere raadgevende commissie Verbruik</w:t>
      </w:r>
      <w:r w:rsidR="00405B57">
        <w:rPr>
          <w:rFonts w:cs="Times New Roman"/>
          <w:b/>
          <w:szCs w:val="20"/>
        </w:rPr>
        <w:t xml:space="preserve">, opgericht bij </w:t>
      </w:r>
      <w:r w:rsidRPr="00BC1871">
        <w:rPr>
          <w:rFonts w:cs="Times New Roman"/>
          <w:b/>
          <w:szCs w:val="20"/>
        </w:rPr>
        <w:t>koninklijk besluit 13 december 2017 houdende oprichting van de bijzondere raadgevende commissie Verbruik binnen de Centrale Raad voor het Bedrijfsleven en tot opheffing van de Commissie voor Milieu-etikettering en milieureclame, om advies te hebben verzocht, kan het directiecomité van de FSMA, onverminderd de bevoegdheden van de minister die de Economie onder zijn bevoegdheden heeft, reglementen bepalen die, rekening houdend met de belangen van de afnemers van financiële producten of diensten:</w:t>
      </w:r>
    </w:p>
    <w:p w:rsidR="00BC1871" w:rsidRPr="00BC1871" w:rsidRDefault="00BC1871" w:rsidP="00253E6B">
      <w:pPr>
        <w:spacing w:after="0" w:line="276" w:lineRule="auto"/>
        <w:ind w:firstLine="397"/>
        <w:contextualSpacing/>
        <w:rPr>
          <w:rFonts w:cs="Times New Roman"/>
          <w:b/>
          <w:szCs w:val="20"/>
        </w:rPr>
      </w:pPr>
      <w:r w:rsidRPr="00BC1871">
        <w:rPr>
          <w:rFonts w:cs="Times New Roman"/>
          <w:b/>
          <w:szCs w:val="20"/>
        </w:rPr>
        <w:t>1</w:t>
      </w:r>
      <w:r w:rsidR="009F6533" w:rsidRPr="00BC1871">
        <w:rPr>
          <w:rFonts w:cs="Times New Roman"/>
          <w:b/>
          <w:szCs w:val="20"/>
        </w:rPr>
        <w:t>° een verbod dan wel beperkende voorwaarden opleggen op de commercialisering of bepaalde vormen van commercialisering aan niet-professionele cliënten van financiële producten of van bepaalde categorieën van financiële producten;</w:t>
      </w:r>
    </w:p>
    <w:p w:rsidR="00BC1871" w:rsidRPr="00BC1871" w:rsidRDefault="009F6533" w:rsidP="00253E6B">
      <w:pPr>
        <w:spacing w:after="0" w:line="276" w:lineRule="auto"/>
        <w:ind w:firstLine="397"/>
        <w:contextualSpacing/>
        <w:rPr>
          <w:rFonts w:cs="Times New Roman"/>
          <w:b/>
          <w:szCs w:val="20"/>
        </w:rPr>
      </w:pPr>
      <w:r w:rsidRPr="00BC1871">
        <w:rPr>
          <w:rFonts w:cs="Times New Roman"/>
          <w:b/>
          <w:szCs w:val="20"/>
        </w:rPr>
        <w:t>2° via de verplichte vermelding van een label of anderszins, de transparantie bevorderen van dergelijke producten, van bepaalde categorieën van dergelijke producten of van de risico's, prijzen, vergoedingen en kosten ervan;</w:t>
      </w:r>
    </w:p>
    <w:p w:rsidR="00BC1871" w:rsidRPr="00BC1871" w:rsidRDefault="009F6533" w:rsidP="00253E6B">
      <w:pPr>
        <w:spacing w:after="0" w:line="276" w:lineRule="auto"/>
        <w:ind w:firstLine="397"/>
        <w:contextualSpacing/>
        <w:rPr>
          <w:rFonts w:cs="Times New Roman"/>
          <w:b/>
          <w:szCs w:val="20"/>
        </w:rPr>
      </w:pPr>
      <w:r w:rsidRPr="00BC1871">
        <w:rPr>
          <w:rFonts w:cs="Times New Roman"/>
          <w:b/>
          <w:szCs w:val="20"/>
        </w:rPr>
        <w:t>3° een referentie-vragenlijst voor het bepalen van het beleggersprofiel voor afnemers van financiële producten aanbevelen.</w:t>
      </w:r>
    </w:p>
    <w:p w:rsidR="00BC1871" w:rsidRPr="00BC1871" w:rsidRDefault="009F6533" w:rsidP="00253E6B">
      <w:pPr>
        <w:spacing w:after="0" w:line="276" w:lineRule="auto"/>
        <w:ind w:firstLine="397"/>
        <w:contextualSpacing/>
        <w:rPr>
          <w:rFonts w:cs="Times New Roman"/>
          <w:b/>
          <w:szCs w:val="20"/>
        </w:rPr>
      </w:pPr>
      <w:r w:rsidRPr="00BC1871">
        <w:rPr>
          <w:rFonts w:cs="Times New Roman"/>
          <w:b/>
          <w:szCs w:val="20"/>
        </w:rPr>
        <w:t>Voor doeleinden van dit artikel wordt onder commercialisering verstaan: het voorstellen van het product, ongeacht de wijze waarop dit gebeurt, om de cliënt of potentiële cliënt aan te zetten tot aankoop van, inschrijving op, toetreding tot, aanvaarding van, ondertekening van of ope</w:t>
      </w:r>
      <w:r w:rsidR="00BC1871" w:rsidRPr="00BC1871">
        <w:rPr>
          <w:rFonts w:cs="Times New Roman"/>
          <w:b/>
          <w:szCs w:val="20"/>
        </w:rPr>
        <w:t>ning van het betrokken product.</w:t>
      </w:r>
    </w:p>
    <w:p w:rsidR="008E53EC" w:rsidRPr="00BC1871" w:rsidRDefault="009F6533" w:rsidP="00253E6B">
      <w:pPr>
        <w:spacing w:after="0" w:line="276" w:lineRule="auto"/>
        <w:ind w:firstLine="397"/>
        <w:contextualSpacing/>
        <w:rPr>
          <w:rFonts w:cs="Times New Roman"/>
          <w:b/>
          <w:szCs w:val="20"/>
        </w:rPr>
      </w:pPr>
      <w:r w:rsidRPr="00BC1871">
        <w:rPr>
          <w:rFonts w:cs="Times New Roman"/>
          <w:b/>
          <w:szCs w:val="20"/>
        </w:rPr>
        <w:t>Artikel 64, derde lid, is van toepassing op deze reglementen.</w:t>
      </w:r>
    </w:p>
    <w:p w:rsidR="00BC1871" w:rsidRPr="00996379" w:rsidRDefault="00BC1871" w:rsidP="00253E6B">
      <w:pPr>
        <w:spacing w:line="276" w:lineRule="auto"/>
        <w:rPr>
          <w:rFonts w:cs="Times New Roman"/>
          <w:szCs w:val="20"/>
        </w:rPr>
      </w:pPr>
    </w:p>
    <w:p w:rsidR="00BC1871" w:rsidRPr="00BC1871" w:rsidRDefault="00BC1871" w:rsidP="00253E6B">
      <w:pPr>
        <w:spacing w:line="276" w:lineRule="auto"/>
        <w:contextualSpacing/>
        <w:rPr>
          <w:rFonts w:cs="Times New Roman"/>
          <w:i/>
          <w:szCs w:val="20"/>
          <w:lang w:val="en-US"/>
        </w:rPr>
      </w:pPr>
      <w:r w:rsidRPr="00BC1871">
        <w:rPr>
          <w:rFonts w:cs="Times New Roman"/>
          <w:i/>
          <w:szCs w:val="20"/>
          <w:lang w:val="en-US"/>
        </w:rPr>
        <w:t>Art. 30bis. Sans préjudice des articles 39 à 43 du Règlement 600/2014, sur avis du conseil de surveillance et après avoir sollicité au moins un mois à l'avance l'avis de la Commission consultative spéciale Consommation, créé par l'arrêté royal du 13 décembre 2017 portant création de la Commission consultative spéciale Consommation au sein du Conseil central de l'économie et portant suppression de la Commission pour l'étiquetage et la publicité écologiques, le comité de direction de la FSMA peut, sans préjudice des compétences dévolues au ministre ayant l'Economie dans ses attributions, arrêter des règlements qui, tenant compte des intérêts des utilisateurs de produits ou services financiers</w:t>
      </w:r>
      <w:r>
        <w:rPr>
          <w:rFonts w:cs="Times New Roman"/>
          <w:i/>
          <w:szCs w:val="20"/>
          <w:lang w:val="en-US"/>
        </w:rPr>
        <w:t>:</w:t>
      </w:r>
    </w:p>
    <w:p w:rsidR="00BC1871" w:rsidRPr="00BC1871" w:rsidRDefault="00BC1871" w:rsidP="00253E6B">
      <w:pPr>
        <w:spacing w:line="276" w:lineRule="auto"/>
        <w:ind w:firstLine="397"/>
        <w:contextualSpacing/>
        <w:rPr>
          <w:rFonts w:cs="Times New Roman"/>
          <w:i/>
          <w:szCs w:val="20"/>
          <w:lang w:val="en-US"/>
        </w:rPr>
      </w:pPr>
      <w:r w:rsidRPr="00BC1871">
        <w:rPr>
          <w:rFonts w:cs="Times New Roman"/>
          <w:i/>
          <w:szCs w:val="20"/>
          <w:lang w:val="en-US"/>
        </w:rPr>
        <w:t>1° interdisent ou subordonnent à des conditions restrictives la commercialisation ou certaines formes de commercialisation, auprès des clients de détail, de produits financiers ou de certaines catégories de produits financiers;</w:t>
      </w:r>
    </w:p>
    <w:p w:rsidR="00BC1871" w:rsidRPr="00BC1871" w:rsidRDefault="00BC1871" w:rsidP="00253E6B">
      <w:pPr>
        <w:spacing w:line="276" w:lineRule="auto"/>
        <w:ind w:firstLine="397"/>
        <w:contextualSpacing/>
        <w:rPr>
          <w:rFonts w:cs="Times New Roman"/>
          <w:i/>
          <w:szCs w:val="20"/>
          <w:lang w:val="en-US"/>
        </w:rPr>
      </w:pPr>
      <w:r w:rsidRPr="00BC1871">
        <w:rPr>
          <w:rFonts w:cs="Times New Roman"/>
          <w:i/>
          <w:szCs w:val="20"/>
          <w:lang w:val="en-US"/>
        </w:rPr>
        <w:t>2° favorisent, en prévoyant la mention obligatoire d'un label ou de toute autre façon, la transparence de tels produits, de certaines catégories de tels produits ou des risques, des prix, des rémunérations et des frais liés à de tels produits;</w:t>
      </w:r>
    </w:p>
    <w:p w:rsidR="00BC1871" w:rsidRPr="00BC1871" w:rsidRDefault="00BC1871" w:rsidP="00253E6B">
      <w:pPr>
        <w:spacing w:line="276" w:lineRule="auto"/>
        <w:ind w:firstLine="397"/>
        <w:contextualSpacing/>
        <w:rPr>
          <w:rFonts w:cs="Times New Roman"/>
          <w:i/>
          <w:szCs w:val="20"/>
          <w:lang w:val="en-US"/>
        </w:rPr>
      </w:pPr>
      <w:r w:rsidRPr="00BC1871">
        <w:rPr>
          <w:rFonts w:cs="Times New Roman"/>
          <w:i/>
          <w:szCs w:val="20"/>
          <w:lang w:val="en-US"/>
        </w:rPr>
        <w:t>3° recommandent un questionnaire de référence pour définir le profil d'investisseur des utilisateurs de produits financiers.</w:t>
      </w:r>
    </w:p>
    <w:p w:rsidR="00BC1871" w:rsidRPr="00BC1871" w:rsidRDefault="00BC1871" w:rsidP="00253E6B">
      <w:pPr>
        <w:spacing w:line="276" w:lineRule="auto"/>
        <w:ind w:firstLine="397"/>
        <w:contextualSpacing/>
        <w:rPr>
          <w:rFonts w:cs="Times New Roman"/>
          <w:i/>
          <w:szCs w:val="20"/>
          <w:lang w:val="en-US"/>
        </w:rPr>
      </w:pPr>
      <w:r w:rsidRPr="00BC1871">
        <w:rPr>
          <w:rFonts w:cs="Times New Roman"/>
          <w:i/>
          <w:szCs w:val="20"/>
          <w:lang w:val="en-US"/>
        </w:rPr>
        <w:t>Pour l'application du présent article, il y a lieu d'entendre par " commercialisation " la présentation du produit, de quelque manière que ce soit, en vue d'inciter le client ou le client potentiel à acheter, à souscrire, à adhérer à, à accepter, à signer ou à ouvrir le produit concerné.</w:t>
      </w:r>
    </w:p>
    <w:p w:rsidR="00BC1871" w:rsidRPr="00BC1871" w:rsidRDefault="00BC1871" w:rsidP="00253E6B">
      <w:pPr>
        <w:spacing w:line="276" w:lineRule="auto"/>
        <w:ind w:firstLine="397"/>
        <w:contextualSpacing/>
        <w:rPr>
          <w:rFonts w:cs="Times New Roman"/>
          <w:i/>
          <w:szCs w:val="20"/>
          <w:lang w:val="en-US"/>
        </w:rPr>
      </w:pPr>
      <w:r w:rsidRPr="00BC1871">
        <w:rPr>
          <w:rFonts w:cs="Times New Roman"/>
          <w:i/>
          <w:szCs w:val="20"/>
          <w:lang w:val="en-US"/>
        </w:rPr>
        <w:t>L'article 64, alinéa 3, est applicable à ces règlements.</w:t>
      </w:r>
    </w:p>
    <w:p w:rsidR="009C171F" w:rsidRDefault="009C171F" w:rsidP="00253E6B">
      <w:pPr>
        <w:spacing w:line="276" w:lineRule="auto"/>
        <w:rPr>
          <w:rFonts w:cs="Times New Roman"/>
          <w:b/>
          <w:szCs w:val="20"/>
          <w:lang w:val="en-US"/>
        </w:rPr>
      </w:pPr>
    </w:p>
    <w:p w:rsidR="00BC1871" w:rsidRDefault="00BC1871" w:rsidP="00253E6B">
      <w:pPr>
        <w:spacing w:line="276" w:lineRule="auto"/>
        <w:rPr>
          <w:rFonts w:cs="Times New Roman"/>
          <w:b/>
          <w:szCs w:val="20"/>
          <w:lang w:val="en-US"/>
        </w:rPr>
      </w:pPr>
    </w:p>
    <w:p w:rsidR="000D721C" w:rsidRDefault="000D721C" w:rsidP="00253E6B">
      <w:pPr>
        <w:spacing w:line="276" w:lineRule="auto"/>
        <w:rPr>
          <w:rFonts w:cs="Times New Roman"/>
          <w:b/>
          <w:szCs w:val="20"/>
          <w:lang w:val="en-US"/>
        </w:rPr>
      </w:pPr>
    </w:p>
    <w:p w:rsidR="000D721C" w:rsidRDefault="000D721C" w:rsidP="00253E6B">
      <w:pPr>
        <w:spacing w:line="276" w:lineRule="auto"/>
        <w:rPr>
          <w:rFonts w:cs="Times New Roman"/>
          <w:b/>
          <w:szCs w:val="20"/>
          <w:lang w:val="en-US"/>
        </w:rPr>
      </w:pPr>
    </w:p>
    <w:p w:rsidR="00BC1871" w:rsidRPr="00BC1871" w:rsidRDefault="00BC1871" w:rsidP="00253E6B">
      <w:pPr>
        <w:pBdr>
          <w:bottom w:val="single" w:sz="4" w:space="1" w:color="auto"/>
        </w:pBdr>
        <w:spacing w:line="276" w:lineRule="auto"/>
        <w:rPr>
          <w:rFonts w:cs="Times New Roman"/>
          <w:b/>
          <w:szCs w:val="20"/>
        </w:rPr>
      </w:pPr>
      <w:r w:rsidRPr="00BC1871">
        <w:rPr>
          <w:rFonts w:cs="Times New Roman"/>
          <w:b/>
          <w:szCs w:val="20"/>
        </w:rPr>
        <w:lastRenderedPageBreak/>
        <w:t xml:space="preserve">Commentaar bij art. 30bis W. </w:t>
      </w:r>
      <w:r>
        <w:rPr>
          <w:rFonts w:cs="Times New Roman"/>
          <w:b/>
          <w:szCs w:val="20"/>
        </w:rPr>
        <w:t>2 augustus 2002</w:t>
      </w:r>
    </w:p>
    <w:p w:rsidR="00BC1871" w:rsidRDefault="00BC1871" w:rsidP="00253E6B">
      <w:pPr>
        <w:spacing w:line="276" w:lineRule="auto"/>
        <w:rPr>
          <w:rFonts w:cs="Times New Roman"/>
          <w:szCs w:val="20"/>
        </w:rPr>
      </w:pPr>
      <w:r w:rsidRPr="004C101A">
        <w:rPr>
          <w:rFonts w:cs="Times New Roman"/>
          <w:i/>
          <w:szCs w:val="20"/>
        </w:rPr>
        <w:t>Auteur</w:t>
      </w:r>
      <w:r>
        <w:rPr>
          <w:rFonts w:cs="Times New Roman"/>
          <w:szCs w:val="20"/>
        </w:rPr>
        <w:t>: Jasper VEREECKEN</w:t>
      </w:r>
    </w:p>
    <w:p w:rsidR="00BC1871" w:rsidRPr="004C101A" w:rsidRDefault="00EA122D" w:rsidP="00253E6B">
      <w:pPr>
        <w:spacing w:line="276" w:lineRule="auto"/>
        <w:rPr>
          <w:rFonts w:cs="Times New Roman"/>
          <w:sz w:val="18"/>
          <w:szCs w:val="20"/>
        </w:rPr>
      </w:pPr>
      <w:r w:rsidRPr="004C101A">
        <w:rPr>
          <w:rFonts w:cs="Times New Roman"/>
          <w:i/>
          <w:sz w:val="18"/>
          <w:szCs w:val="20"/>
        </w:rPr>
        <w:t>Bijgewerkt tot:</w:t>
      </w:r>
      <w:r w:rsidRPr="004C101A">
        <w:rPr>
          <w:rFonts w:cs="Times New Roman"/>
          <w:sz w:val="18"/>
          <w:szCs w:val="20"/>
        </w:rPr>
        <w:t xml:space="preserve"> </w:t>
      </w:r>
      <w:r w:rsidR="00861AA2">
        <w:rPr>
          <w:rFonts w:cs="Times New Roman"/>
          <w:sz w:val="18"/>
          <w:szCs w:val="20"/>
        </w:rPr>
        <w:t>21 december</w:t>
      </w:r>
      <w:r w:rsidR="001E09A9" w:rsidRPr="004C101A">
        <w:rPr>
          <w:rFonts w:cs="Times New Roman"/>
          <w:sz w:val="18"/>
          <w:szCs w:val="20"/>
        </w:rPr>
        <w:t xml:space="preserve"> 2018</w:t>
      </w:r>
    </w:p>
    <w:p w:rsidR="00BC1871" w:rsidRPr="00554ECA" w:rsidRDefault="00BC1871" w:rsidP="00253E6B">
      <w:pPr>
        <w:spacing w:line="276" w:lineRule="auto"/>
        <w:rPr>
          <w:rFonts w:cs="Times New Roman"/>
          <w:szCs w:val="20"/>
        </w:rPr>
      </w:pPr>
    </w:p>
    <w:p w:rsidR="00BC1871" w:rsidRPr="00554ECA" w:rsidRDefault="00BC1871" w:rsidP="00253E6B">
      <w:pPr>
        <w:spacing w:line="276" w:lineRule="auto"/>
        <w:rPr>
          <w:rFonts w:cs="Times New Roman"/>
          <w:i/>
          <w:szCs w:val="20"/>
          <w:lang w:val="en-US"/>
        </w:rPr>
      </w:pPr>
      <w:r w:rsidRPr="00554ECA">
        <w:rPr>
          <w:rFonts w:cs="Times New Roman"/>
          <w:i/>
          <w:szCs w:val="20"/>
          <w:lang w:val="en-US"/>
        </w:rPr>
        <w:t>BELANGRIJKSTE RECHTSLEER</w:t>
      </w:r>
    </w:p>
    <w:p w:rsidR="000B190C" w:rsidRDefault="000B190C" w:rsidP="00EA122D">
      <w:pPr>
        <w:spacing w:line="276" w:lineRule="auto"/>
        <w:rPr>
          <w:rFonts w:cs="Times New Roman"/>
          <w:szCs w:val="20"/>
          <w:lang w:val="en-US"/>
        </w:rPr>
      </w:pPr>
      <w:r w:rsidRPr="000B190C">
        <w:rPr>
          <w:rFonts w:cs="Times New Roman"/>
          <w:szCs w:val="20"/>
          <w:lang w:val="en-US"/>
        </w:rPr>
        <w:t>BUSCH</w:t>
      </w:r>
      <w:r>
        <w:rPr>
          <w:rFonts w:cs="Times New Roman"/>
          <w:szCs w:val="20"/>
          <w:lang w:val="en-US"/>
        </w:rPr>
        <w:t>,</w:t>
      </w:r>
      <w:r w:rsidRPr="000B190C">
        <w:rPr>
          <w:rFonts w:cs="Times New Roman"/>
          <w:szCs w:val="20"/>
          <w:lang w:val="en-US"/>
        </w:rPr>
        <w:t xml:space="preserve"> D., “Product Governance and Product Intervention under MiFID II/MiFIR” in BUSCH</w:t>
      </w:r>
      <w:r>
        <w:rPr>
          <w:rFonts w:cs="Times New Roman"/>
          <w:szCs w:val="20"/>
          <w:lang w:val="en-US"/>
        </w:rPr>
        <w:t>,</w:t>
      </w:r>
      <w:r w:rsidRPr="000B190C">
        <w:rPr>
          <w:rFonts w:cs="Times New Roman"/>
          <w:szCs w:val="20"/>
          <w:lang w:val="en-US"/>
        </w:rPr>
        <w:t xml:space="preserve"> D.</w:t>
      </w:r>
      <w:r>
        <w:rPr>
          <w:rFonts w:cs="Times New Roman"/>
          <w:szCs w:val="20"/>
          <w:lang w:val="en-US"/>
        </w:rPr>
        <w:t xml:space="preserve"> </w:t>
      </w:r>
      <w:r w:rsidRPr="000B190C">
        <w:rPr>
          <w:rFonts w:cs="Times New Roman"/>
          <w:szCs w:val="20"/>
          <w:lang w:val="en-US"/>
        </w:rPr>
        <w:t>en FERRARINI</w:t>
      </w:r>
      <w:r>
        <w:rPr>
          <w:rFonts w:cs="Times New Roman"/>
          <w:szCs w:val="20"/>
          <w:lang w:val="en-US"/>
        </w:rPr>
        <w:t>,</w:t>
      </w:r>
      <w:r w:rsidRPr="000B190C">
        <w:rPr>
          <w:rFonts w:cs="Times New Roman"/>
          <w:szCs w:val="20"/>
          <w:lang w:val="en-US"/>
        </w:rPr>
        <w:t xml:space="preserve"> G. (eds.), </w:t>
      </w:r>
      <w:r w:rsidRPr="000B190C">
        <w:rPr>
          <w:rFonts w:cs="Times New Roman"/>
          <w:i/>
          <w:szCs w:val="20"/>
          <w:lang w:val="en-US"/>
        </w:rPr>
        <w:t>Regulation of the EU Financial Markets. MiFID II and MiFIR</w:t>
      </w:r>
      <w:r w:rsidRPr="000B190C">
        <w:rPr>
          <w:rFonts w:cs="Times New Roman"/>
          <w:szCs w:val="20"/>
          <w:lang w:val="en-US"/>
        </w:rPr>
        <w:t>, Oxford, Oxford University Press, 2017, 123-146.</w:t>
      </w:r>
    </w:p>
    <w:p w:rsidR="000F2029" w:rsidRPr="001E1AB0" w:rsidRDefault="000F2029" w:rsidP="00EA122D">
      <w:pPr>
        <w:spacing w:line="276" w:lineRule="auto"/>
        <w:rPr>
          <w:rFonts w:cs="Times New Roman"/>
          <w:szCs w:val="20"/>
          <w:lang w:val="en-US"/>
        </w:rPr>
      </w:pPr>
      <w:r w:rsidRPr="001E1AB0">
        <w:rPr>
          <w:rFonts w:cs="Times New Roman"/>
          <w:szCs w:val="20"/>
          <w:lang w:val="en-US"/>
        </w:rPr>
        <w:t>CATTARUZZA</w:t>
      </w:r>
      <w:r w:rsidR="00E26267" w:rsidRPr="001E1AB0">
        <w:rPr>
          <w:rFonts w:cs="Times New Roman"/>
          <w:szCs w:val="20"/>
          <w:lang w:val="en-US"/>
        </w:rPr>
        <w:t>, J.</w:t>
      </w:r>
      <w:r w:rsidRPr="001E1AB0">
        <w:rPr>
          <w:rFonts w:cs="Times New Roman"/>
          <w:szCs w:val="20"/>
          <w:lang w:val="en-US"/>
        </w:rPr>
        <w:t xml:space="preserve">, “Financiële reglementering - Actualiteit”, </w:t>
      </w:r>
      <w:r w:rsidRPr="001E1AB0">
        <w:rPr>
          <w:rFonts w:cs="Times New Roman"/>
          <w:i/>
          <w:szCs w:val="20"/>
          <w:lang w:val="en-US"/>
        </w:rPr>
        <w:t>BFR</w:t>
      </w:r>
      <w:r w:rsidRPr="001E1AB0">
        <w:rPr>
          <w:rFonts w:cs="Times New Roman"/>
          <w:szCs w:val="20"/>
          <w:lang w:val="en-US"/>
        </w:rPr>
        <w:t xml:space="preserve"> 2017, 177-18</w:t>
      </w:r>
      <w:r w:rsidR="00FD7ADA" w:rsidRPr="001E1AB0">
        <w:rPr>
          <w:rFonts w:cs="Times New Roman"/>
          <w:szCs w:val="20"/>
          <w:lang w:val="en-US"/>
        </w:rPr>
        <w:t>5</w:t>
      </w:r>
      <w:r w:rsidRPr="001E1AB0">
        <w:rPr>
          <w:rFonts w:cs="Times New Roman"/>
          <w:szCs w:val="20"/>
          <w:lang w:val="en-US"/>
        </w:rPr>
        <w:t>.</w:t>
      </w:r>
    </w:p>
    <w:p w:rsidR="000B190C" w:rsidRDefault="000B190C" w:rsidP="00EA122D">
      <w:pPr>
        <w:spacing w:line="276" w:lineRule="auto"/>
        <w:rPr>
          <w:rFonts w:cs="Times New Roman"/>
          <w:szCs w:val="20"/>
          <w:lang w:val="en-US"/>
        </w:rPr>
      </w:pPr>
      <w:r w:rsidRPr="000B190C">
        <w:rPr>
          <w:rFonts w:cs="Times New Roman"/>
          <w:szCs w:val="20"/>
          <w:lang w:val="en-US"/>
        </w:rPr>
        <w:t>COLAERT</w:t>
      </w:r>
      <w:r>
        <w:rPr>
          <w:rFonts w:cs="Times New Roman"/>
          <w:szCs w:val="20"/>
          <w:lang w:val="en-US"/>
        </w:rPr>
        <w:t>,</w:t>
      </w:r>
      <w:r w:rsidRPr="000B190C">
        <w:rPr>
          <w:rFonts w:cs="Times New Roman"/>
          <w:szCs w:val="20"/>
          <w:lang w:val="en-US"/>
        </w:rPr>
        <w:t xml:space="preserve"> V., “Building blocks of investor protection: All embracing regulation tightens its grip”, </w:t>
      </w:r>
      <w:r w:rsidRPr="000B190C">
        <w:rPr>
          <w:rFonts w:cs="Times New Roman"/>
          <w:i/>
          <w:szCs w:val="20"/>
          <w:lang w:val="en-US"/>
        </w:rPr>
        <w:t>EuCML</w:t>
      </w:r>
      <w:r w:rsidR="004C101A">
        <w:rPr>
          <w:rFonts w:cs="Times New Roman"/>
          <w:szCs w:val="20"/>
          <w:lang w:val="en-US"/>
        </w:rPr>
        <w:t xml:space="preserve"> 2017,</w:t>
      </w:r>
      <w:r>
        <w:rPr>
          <w:rFonts w:cs="Times New Roman"/>
          <w:szCs w:val="20"/>
          <w:lang w:val="en-US"/>
        </w:rPr>
        <w:t xml:space="preserve"> 229-244.</w:t>
      </w:r>
    </w:p>
    <w:p w:rsidR="008C6252" w:rsidRPr="00790E76" w:rsidRDefault="008C6252" w:rsidP="008C6252">
      <w:pPr>
        <w:pStyle w:val="Voetnoottekst"/>
        <w:spacing w:before="0" w:line="276" w:lineRule="auto"/>
        <w:rPr>
          <w:rFonts w:cs="Times New Roman"/>
          <w:sz w:val="20"/>
          <w:szCs w:val="16"/>
        </w:rPr>
      </w:pPr>
      <w:r w:rsidRPr="00790E76">
        <w:rPr>
          <w:rFonts w:cs="Times New Roman"/>
          <w:sz w:val="20"/>
          <w:szCs w:val="16"/>
        </w:rPr>
        <w:t xml:space="preserve">COLAERT, V., “MiFID II en de zorgplicht: niets nieuws onder de zon?” </w:t>
      </w:r>
      <w:r w:rsidR="0034743F">
        <w:rPr>
          <w:rFonts w:cs="Times New Roman"/>
          <w:sz w:val="20"/>
          <w:szCs w:val="16"/>
        </w:rPr>
        <w:t xml:space="preserve">in DE MEULENEERE, I., COLAERT, </w:t>
      </w:r>
      <w:r w:rsidRPr="00790E76">
        <w:rPr>
          <w:rFonts w:cs="Times New Roman"/>
          <w:sz w:val="20"/>
          <w:szCs w:val="16"/>
        </w:rPr>
        <w:t>V., KUP</w:t>
      </w:r>
      <w:r w:rsidR="0034743F">
        <w:rPr>
          <w:rFonts w:cs="Times New Roman"/>
          <w:sz w:val="20"/>
          <w:szCs w:val="16"/>
        </w:rPr>
        <w:t>ERS, W. en PIJCKE, A.S. (eds.),</w:t>
      </w:r>
      <w:r w:rsidRPr="00790E76">
        <w:rPr>
          <w:rFonts w:cs="Times New Roman"/>
          <w:sz w:val="20"/>
          <w:szCs w:val="16"/>
        </w:rPr>
        <w:t xml:space="preserve"> </w:t>
      </w:r>
      <w:r w:rsidRPr="00790E76">
        <w:rPr>
          <w:rFonts w:cs="Times New Roman"/>
          <w:i/>
          <w:sz w:val="20"/>
          <w:szCs w:val="16"/>
        </w:rPr>
        <w:t>MiFID II &amp; MiFIR: capita selecta</w:t>
      </w:r>
      <w:r w:rsidRPr="00790E76">
        <w:rPr>
          <w:rFonts w:cs="Times New Roman"/>
          <w:sz w:val="20"/>
          <w:szCs w:val="16"/>
        </w:rPr>
        <w:t>, Louvain-La Neuve, Anthemis, 2018, 99-114.</w:t>
      </w:r>
    </w:p>
    <w:p w:rsidR="00FD7ADA" w:rsidRPr="00FD7ADA" w:rsidRDefault="00FD7ADA" w:rsidP="00EA122D">
      <w:pPr>
        <w:spacing w:line="276" w:lineRule="auto"/>
        <w:rPr>
          <w:rFonts w:cs="Times New Roman"/>
          <w:szCs w:val="20"/>
        </w:rPr>
      </w:pPr>
      <w:r w:rsidRPr="00FD7ADA">
        <w:rPr>
          <w:rFonts w:cs="Times New Roman"/>
          <w:szCs w:val="20"/>
        </w:rPr>
        <w:t>COLAERT, V., “Productinterventie: Sluitsteen van het vernieuwe beleggersbeschermingsregime</w:t>
      </w:r>
      <w:r>
        <w:rPr>
          <w:rFonts w:cs="Times New Roman"/>
          <w:szCs w:val="20"/>
        </w:rPr>
        <w:t xml:space="preserve">”, </w:t>
      </w:r>
      <w:r w:rsidRPr="008C6252">
        <w:rPr>
          <w:rFonts w:cs="Times New Roman"/>
          <w:i/>
          <w:szCs w:val="20"/>
        </w:rPr>
        <w:t>BFR</w:t>
      </w:r>
      <w:r>
        <w:rPr>
          <w:rFonts w:cs="Times New Roman"/>
          <w:szCs w:val="20"/>
        </w:rPr>
        <w:t xml:space="preserve"> 2017, 403-414.</w:t>
      </w:r>
    </w:p>
    <w:p w:rsidR="000B190C" w:rsidRDefault="000B190C" w:rsidP="00EA122D">
      <w:pPr>
        <w:spacing w:line="276" w:lineRule="auto"/>
        <w:rPr>
          <w:rFonts w:cs="Times New Roman"/>
          <w:szCs w:val="20"/>
        </w:rPr>
      </w:pPr>
      <w:r w:rsidRPr="000B190C">
        <w:rPr>
          <w:rFonts w:cs="Times New Roman"/>
          <w:szCs w:val="20"/>
        </w:rPr>
        <w:t>COLAERT</w:t>
      </w:r>
      <w:r>
        <w:rPr>
          <w:rFonts w:cs="Times New Roman"/>
          <w:szCs w:val="20"/>
        </w:rPr>
        <w:t>,</w:t>
      </w:r>
      <w:r w:rsidRPr="000B190C">
        <w:rPr>
          <w:rFonts w:cs="Times New Roman"/>
          <w:szCs w:val="20"/>
        </w:rPr>
        <w:t xml:space="preserve"> V., “Het toepassingsgebied van de MiFIR-productinterventiemaatregelen”, </w:t>
      </w:r>
      <w:r w:rsidRPr="000B190C">
        <w:rPr>
          <w:rFonts w:cs="Times New Roman"/>
          <w:i/>
          <w:szCs w:val="20"/>
        </w:rPr>
        <w:t>RPS-TRV</w:t>
      </w:r>
      <w:r w:rsidRPr="000B190C">
        <w:rPr>
          <w:rFonts w:cs="Times New Roman"/>
          <w:szCs w:val="20"/>
        </w:rPr>
        <w:t xml:space="preserve"> 2017, </w:t>
      </w:r>
      <w:r>
        <w:rPr>
          <w:rFonts w:cs="Times New Roman"/>
          <w:szCs w:val="20"/>
        </w:rPr>
        <w:t>965-969</w:t>
      </w:r>
      <w:r w:rsidRPr="000B190C">
        <w:rPr>
          <w:rFonts w:cs="Times New Roman"/>
          <w:szCs w:val="20"/>
        </w:rPr>
        <w:t>.</w:t>
      </w:r>
    </w:p>
    <w:p w:rsidR="007929EF" w:rsidRDefault="00280B8B" w:rsidP="00EA122D">
      <w:pPr>
        <w:spacing w:line="276" w:lineRule="auto"/>
        <w:rPr>
          <w:rFonts w:cs="Times New Roman"/>
          <w:szCs w:val="16"/>
          <w:lang w:val="en-US"/>
        </w:rPr>
      </w:pPr>
      <w:r>
        <w:rPr>
          <w:rFonts w:cs="Times New Roman"/>
          <w:szCs w:val="16"/>
          <w:lang w:val="en-US"/>
        </w:rPr>
        <w:t>EUROPEAN SECURITIES AND MARKETS AUTHORITY (</w:t>
      </w:r>
      <w:r w:rsidR="007929EF" w:rsidRPr="007929EF">
        <w:rPr>
          <w:rFonts w:cs="Times New Roman"/>
          <w:szCs w:val="16"/>
          <w:lang w:val="en-US"/>
        </w:rPr>
        <w:t>ESMA</w:t>
      </w:r>
      <w:r>
        <w:rPr>
          <w:rFonts w:cs="Times New Roman"/>
          <w:szCs w:val="16"/>
          <w:lang w:val="en-US"/>
        </w:rPr>
        <w:t>)</w:t>
      </w:r>
      <w:r w:rsidR="007929EF" w:rsidRPr="007929EF">
        <w:rPr>
          <w:rFonts w:cs="Times New Roman"/>
          <w:szCs w:val="16"/>
          <w:lang w:val="en-US"/>
        </w:rPr>
        <w:t xml:space="preserve">, </w:t>
      </w:r>
      <w:r w:rsidR="007929EF" w:rsidRPr="007929EF">
        <w:rPr>
          <w:rFonts w:cs="Times New Roman"/>
          <w:i/>
          <w:szCs w:val="16"/>
          <w:lang w:val="en-US"/>
        </w:rPr>
        <w:t>2018 Work Programme</w:t>
      </w:r>
      <w:r w:rsidR="007929EF" w:rsidRPr="007929EF">
        <w:rPr>
          <w:rFonts w:cs="Times New Roman"/>
          <w:szCs w:val="16"/>
          <w:lang w:val="en-US"/>
        </w:rPr>
        <w:t>, 29 september 2017, https://www.esma.europa.eu/system/files_force/library/</w:t>
      </w:r>
      <w:r w:rsidR="007929EF">
        <w:rPr>
          <w:rFonts w:cs="Times New Roman"/>
          <w:szCs w:val="16"/>
          <w:lang w:val="en-US"/>
        </w:rPr>
        <w:t xml:space="preserve"> </w:t>
      </w:r>
      <w:r w:rsidR="007929EF" w:rsidRPr="007929EF">
        <w:rPr>
          <w:rFonts w:cs="Times New Roman"/>
          <w:szCs w:val="16"/>
          <w:lang w:val="en-US"/>
        </w:rPr>
        <w:t>esma20-95-619_2018_work_programme.pdf,</w:t>
      </w:r>
      <w:r w:rsidR="007929EF">
        <w:rPr>
          <w:rFonts w:cs="Times New Roman"/>
          <w:szCs w:val="16"/>
          <w:lang w:val="en-US"/>
        </w:rPr>
        <w:t xml:space="preserve"> 32 p.</w:t>
      </w:r>
    </w:p>
    <w:p w:rsidR="00727EDA" w:rsidRDefault="00280B8B" w:rsidP="00EA122D">
      <w:pPr>
        <w:spacing w:line="276" w:lineRule="auto"/>
        <w:rPr>
          <w:szCs w:val="16"/>
          <w:lang w:val="en-US"/>
        </w:rPr>
      </w:pPr>
      <w:r>
        <w:rPr>
          <w:rFonts w:cs="Times New Roman"/>
          <w:szCs w:val="16"/>
          <w:lang w:val="en-US"/>
        </w:rPr>
        <w:t>EUROPEAN SECURITIES AND MARKETS AUTHORITY (</w:t>
      </w:r>
      <w:r w:rsidRPr="007929EF">
        <w:rPr>
          <w:rFonts w:cs="Times New Roman"/>
          <w:szCs w:val="16"/>
          <w:lang w:val="en-US"/>
        </w:rPr>
        <w:t>ESMA</w:t>
      </w:r>
      <w:r>
        <w:rPr>
          <w:rFonts w:cs="Times New Roman"/>
          <w:szCs w:val="16"/>
          <w:lang w:val="en-US"/>
        </w:rPr>
        <w:t>)</w:t>
      </w:r>
      <w:r w:rsidR="00727EDA" w:rsidRPr="002F6758">
        <w:rPr>
          <w:szCs w:val="16"/>
          <w:lang w:val="en-US"/>
        </w:rPr>
        <w:t xml:space="preserve">, </w:t>
      </w:r>
      <w:r w:rsidR="00727EDA" w:rsidRPr="007929EF">
        <w:rPr>
          <w:i/>
          <w:szCs w:val="16"/>
          <w:lang w:val="en-US"/>
        </w:rPr>
        <w:t>Product Intervention Analysis: Measures on Contracts for Differences</w:t>
      </w:r>
      <w:r w:rsidR="00727EDA" w:rsidRPr="002F6758">
        <w:rPr>
          <w:szCs w:val="16"/>
          <w:lang w:val="en-US"/>
        </w:rPr>
        <w:t>,</w:t>
      </w:r>
      <w:r w:rsidR="00727EDA">
        <w:rPr>
          <w:szCs w:val="16"/>
          <w:lang w:val="en-US"/>
        </w:rPr>
        <w:t xml:space="preserve"> 1 juni 2015, </w:t>
      </w:r>
      <w:r w:rsidR="00727EDA" w:rsidRPr="00727EDA">
        <w:rPr>
          <w:lang w:val="en-US"/>
        </w:rPr>
        <w:t>ESMA50-162-215</w:t>
      </w:r>
      <w:r w:rsidR="00727EDA">
        <w:rPr>
          <w:lang w:val="en-US"/>
        </w:rPr>
        <w:t xml:space="preserve">, </w:t>
      </w:r>
      <w:r w:rsidR="00727EDA" w:rsidRPr="007929EF">
        <w:rPr>
          <w:szCs w:val="16"/>
          <w:lang w:val="en-US"/>
        </w:rPr>
        <w:t>https://www.esma.europa.eu/sites/default/files/library/esma50-162-215_product_intervention_analysis_cfds.pdf</w:t>
      </w:r>
      <w:r w:rsidR="00727EDA">
        <w:rPr>
          <w:szCs w:val="16"/>
          <w:lang w:val="en-US"/>
        </w:rPr>
        <w:t>,</w:t>
      </w:r>
      <w:r w:rsidR="00727EDA" w:rsidRPr="002F6758">
        <w:rPr>
          <w:szCs w:val="16"/>
          <w:lang w:val="en-US"/>
        </w:rPr>
        <w:t xml:space="preserve"> </w:t>
      </w:r>
      <w:r w:rsidR="00727EDA">
        <w:rPr>
          <w:szCs w:val="16"/>
          <w:lang w:val="en-US"/>
        </w:rPr>
        <w:t>58 p</w:t>
      </w:r>
      <w:r w:rsidR="00727EDA" w:rsidRPr="002F6758">
        <w:rPr>
          <w:szCs w:val="16"/>
          <w:lang w:val="en-US"/>
        </w:rPr>
        <w:t>.</w:t>
      </w:r>
    </w:p>
    <w:p w:rsidR="00727EDA" w:rsidRPr="007929EF" w:rsidRDefault="00727EDA" w:rsidP="00EA122D">
      <w:pPr>
        <w:spacing w:line="276" w:lineRule="auto"/>
        <w:rPr>
          <w:rFonts w:cs="Times New Roman"/>
          <w:szCs w:val="20"/>
          <w:lang w:val="en-US"/>
        </w:rPr>
      </w:pPr>
      <w:r w:rsidRPr="0054395C">
        <w:rPr>
          <w:rFonts w:cs="Times New Roman"/>
          <w:szCs w:val="16"/>
          <w:lang w:val="en-US"/>
        </w:rPr>
        <w:t xml:space="preserve">EUROPEAN SECURITIES AND MARKETS STAKEHOLDER GROUP (SMSG), </w:t>
      </w:r>
      <w:r w:rsidRPr="0054395C">
        <w:rPr>
          <w:rFonts w:cs="Times New Roman"/>
          <w:i/>
          <w:szCs w:val="16"/>
          <w:lang w:val="en-US"/>
        </w:rPr>
        <w:t>Advice to ESMA – own initiative report on product intervention under MiFIR</w:t>
      </w:r>
      <w:r w:rsidRPr="0054395C">
        <w:rPr>
          <w:rFonts w:cs="Times New Roman"/>
          <w:szCs w:val="16"/>
          <w:lang w:val="en-US"/>
        </w:rPr>
        <w:t xml:space="preserve">, 16 juni 2017, ESMA22-106-264, </w:t>
      </w:r>
      <w:r w:rsidRPr="00727EDA">
        <w:rPr>
          <w:rStyle w:val="Hyperlink"/>
          <w:rFonts w:cs="Times New Roman"/>
          <w:color w:val="auto"/>
          <w:szCs w:val="16"/>
          <w:u w:val="none"/>
          <w:lang w:val="en-US"/>
        </w:rPr>
        <w:t>https://www.esma.europa.eu/sites/default/files/library/esma22-106-264_smsg_own_initiative_report_product_</w:t>
      </w:r>
      <w:r>
        <w:rPr>
          <w:rStyle w:val="Hyperlink"/>
          <w:rFonts w:cs="Times New Roman"/>
          <w:color w:val="auto"/>
          <w:szCs w:val="16"/>
          <w:u w:val="none"/>
          <w:lang w:val="en-US"/>
        </w:rPr>
        <w:t xml:space="preserve"> </w:t>
      </w:r>
      <w:r w:rsidRPr="00727EDA">
        <w:rPr>
          <w:rStyle w:val="Hyperlink"/>
          <w:rFonts w:cs="Times New Roman"/>
          <w:color w:val="auto"/>
          <w:szCs w:val="16"/>
          <w:u w:val="none"/>
          <w:lang w:val="en-US"/>
        </w:rPr>
        <w:t>intervention_0.pdf</w:t>
      </w:r>
      <w:r w:rsidRPr="0054395C">
        <w:rPr>
          <w:rStyle w:val="Hyperlink"/>
          <w:rFonts w:cs="Times New Roman"/>
          <w:color w:val="auto"/>
          <w:szCs w:val="16"/>
          <w:u w:val="none"/>
          <w:lang w:val="en-US"/>
        </w:rPr>
        <w:t xml:space="preserve">, </w:t>
      </w:r>
      <w:r>
        <w:rPr>
          <w:rStyle w:val="Hyperlink"/>
          <w:rFonts w:cs="Times New Roman"/>
          <w:color w:val="auto"/>
          <w:szCs w:val="16"/>
          <w:u w:val="none"/>
          <w:lang w:val="en-US"/>
        </w:rPr>
        <w:t>40 p.</w:t>
      </w:r>
    </w:p>
    <w:p w:rsidR="00EA122D" w:rsidRDefault="00EA122D" w:rsidP="00EA122D">
      <w:pPr>
        <w:spacing w:line="276" w:lineRule="auto"/>
        <w:rPr>
          <w:rFonts w:cs="Times New Roman"/>
          <w:szCs w:val="20"/>
        </w:rPr>
      </w:pPr>
      <w:r w:rsidRPr="00EA122D">
        <w:rPr>
          <w:rFonts w:cs="Times New Roman"/>
          <w:szCs w:val="20"/>
        </w:rPr>
        <w:t>FELTKAMP</w:t>
      </w:r>
      <w:r>
        <w:rPr>
          <w:rFonts w:cs="Times New Roman"/>
          <w:szCs w:val="20"/>
        </w:rPr>
        <w:t>,</w:t>
      </w:r>
      <w:r w:rsidRPr="00EA122D">
        <w:rPr>
          <w:rFonts w:cs="Times New Roman"/>
          <w:szCs w:val="20"/>
        </w:rPr>
        <w:t xml:space="preserve"> R., “Koninklijk besluit van 24 april 2014 tot goedkeuring van het reglement van de Autoriteit voor Financiële Diensten en Markten betreffende het commercialiseringsverbod van bepaalde financiële producten aan niet-professionele cliënten (BS 20 mei 2014, in werking getreden op 1 juli 2014)”, </w:t>
      </w:r>
      <w:r w:rsidRPr="00EA122D">
        <w:rPr>
          <w:rFonts w:cs="Times New Roman"/>
          <w:i/>
          <w:szCs w:val="20"/>
        </w:rPr>
        <w:t>RDC-TBH</w:t>
      </w:r>
      <w:r w:rsidRPr="00EA122D">
        <w:rPr>
          <w:rFonts w:cs="Times New Roman"/>
          <w:szCs w:val="20"/>
        </w:rPr>
        <w:t xml:space="preserve"> 2014, 719.</w:t>
      </w:r>
    </w:p>
    <w:p w:rsidR="00882805" w:rsidRDefault="00882805" w:rsidP="00EA122D">
      <w:pPr>
        <w:spacing w:line="276" w:lineRule="auto"/>
        <w:rPr>
          <w:rFonts w:cs="Times New Roman"/>
          <w:szCs w:val="16"/>
          <w:lang w:val="en-US"/>
        </w:rPr>
      </w:pPr>
      <w:r w:rsidRPr="00882805">
        <w:rPr>
          <w:rFonts w:cs="Times New Roman"/>
          <w:szCs w:val="16"/>
          <w:lang w:val="en-US"/>
        </w:rPr>
        <w:t xml:space="preserve">FINANCIAL SERVICES AUTHORITY, </w:t>
      </w:r>
      <w:r w:rsidRPr="00882805">
        <w:rPr>
          <w:rFonts w:cs="Times New Roman"/>
          <w:i/>
          <w:szCs w:val="16"/>
          <w:lang w:val="en-US"/>
        </w:rPr>
        <w:t>Financial capability: A Behavioural Economics Perspective</w:t>
      </w:r>
      <w:r w:rsidRPr="00882805">
        <w:rPr>
          <w:rFonts w:cs="Times New Roman"/>
          <w:szCs w:val="16"/>
          <w:lang w:val="en-US"/>
        </w:rPr>
        <w:t>, 1 juli 2008, http://www.fsa.gov.uk/static/pubs/consumer-research/crpr69.pdf, 108 p</w:t>
      </w:r>
      <w:r>
        <w:rPr>
          <w:rFonts w:cs="Times New Roman"/>
          <w:szCs w:val="16"/>
          <w:lang w:val="en-US"/>
        </w:rPr>
        <w:t>.</w:t>
      </w:r>
    </w:p>
    <w:p w:rsidR="00877B46" w:rsidRPr="00877B46" w:rsidRDefault="00877B46" w:rsidP="00EA122D">
      <w:pPr>
        <w:spacing w:line="276" w:lineRule="auto"/>
        <w:rPr>
          <w:rFonts w:cs="Times New Roman"/>
          <w:szCs w:val="20"/>
        </w:rPr>
      </w:pPr>
      <w:r w:rsidRPr="008D3595">
        <w:rPr>
          <w:rFonts w:cs="Times New Roman"/>
          <w:szCs w:val="16"/>
        </w:rPr>
        <w:t xml:space="preserve">FSMA, </w:t>
      </w:r>
      <w:r w:rsidRPr="008D3595">
        <w:rPr>
          <w:rFonts w:cs="Times New Roman"/>
          <w:i/>
          <w:szCs w:val="16"/>
        </w:rPr>
        <w:t>Moratorium op de commercialisering van bijzonder ingewikkelde gestructureerde producten</w:t>
      </w:r>
      <w:r w:rsidRPr="008D3595">
        <w:rPr>
          <w:rFonts w:cs="Times New Roman"/>
          <w:szCs w:val="16"/>
        </w:rPr>
        <w:t xml:space="preserve">, 20 juni 2011, </w:t>
      </w:r>
      <w:r w:rsidRPr="00877B46">
        <w:rPr>
          <w:rStyle w:val="Hyperlink"/>
          <w:rFonts w:cs="Times New Roman"/>
          <w:color w:val="auto"/>
          <w:szCs w:val="16"/>
          <w:u w:val="none"/>
        </w:rPr>
        <w:t>https://www.fsma.be/sites/default/files/public/sitecore/media%20library/Files/fsmafiles/press/2011/nipic/ nl/fsma_2011_02.pdf</w:t>
      </w:r>
      <w:r>
        <w:rPr>
          <w:rFonts w:cs="Times New Roman"/>
          <w:szCs w:val="16"/>
        </w:rPr>
        <w:t>, 10 p.</w:t>
      </w:r>
    </w:p>
    <w:p w:rsidR="00BC1871" w:rsidRDefault="00203ED7" w:rsidP="00253E6B">
      <w:pPr>
        <w:spacing w:line="276" w:lineRule="auto"/>
        <w:rPr>
          <w:rFonts w:cs="Times New Roman"/>
          <w:szCs w:val="20"/>
        </w:rPr>
      </w:pPr>
      <w:r w:rsidRPr="00203ED7">
        <w:rPr>
          <w:rFonts w:cs="Times New Roman"/>
          <w:szCs w:val="20"/>
        </w:rPr>
        <w:t>HOUBEN</w:t>
      </w:r>
      <w:r>
        <w:rPr>
          <w:rFonts w:cs="Times New Roman"/>
          <w:szCs w:val="20"/>
        </w:rPr>
        <w:t>, R.</w:t>
      </w:r>
      <w:r w:rsidRPr="00203ED7">
        <w:rPr>
          <w:rFonts w:cs="Times New Roman"/>
          <w:szCs w:val="20"/>
        </w:rPr>
        <w:t xml:space="preserve"> en VANDERSTRAETEN</w:t>
      </w:r>
      <w:r>
        <w:rPr>
          <w:rFonts w:cs="Times New Roman"/>
          <w:szCs w:val="20"/>
        </w:rPr>
        <w:t>, D.</w:t>
      </w:r>
      <w:r w:rsidRPr="00203ED7">
        <w:rPr>
          <w:rFonts w:cs="Times New Roman"/>
          <w:szCs w:val="20"/>
        </w:rPr>
        <w:t xml:space="preserve">, “De bescherming van de financiële consument door de FSMA”, </w:t>
      </w:r>
      <w:r w:rsidRPr="00203ED7">
        <w:rPr>
          <w:rFonts w:cs="Times New Roman"/>
          <w:i/>
          <w:szCs w:val="20"/>
        </w:rPr>
        <w:t>DCCR</w:t>
      </w:r>
      <w:r w:rsidR="004C101A">
        <w:rPr>
          <w:rFonts w:cs="Times New Roman"/>
          <w:szCs w:val="20"/>
        </w:rPr>
        <w:t xml:space="preserve"> 2016,</w:t>
      </w:r>
      <w:r w:rsidRPr="00203ED7">
        <w:rPr>
          <w:rFonts w:cs="Times New Roman"/>
          <w:szCs w:val="20"/>
        </w:rPr>
        <w:t xml:space="preserve"> 21</w:t>
      </w:r>
      <w:r>
        <w:rPr>
          <w:rFonts w:cs="Times New Roman"/>
          <w:szCs w:val="20"/>
        </w:rPr>
        <w:t>-60</w:t>
      </w:r>
      <w:r w:rsidRPr="00203ED7">
        <w:rPr>
          <w:rFonts w:cs="Times New Roman"/>
          <w:szCs w:val="20"/>
        </w:rPr>
        <w:t>.</w:t>
      </w:r>
    </w:p>
    <w:p w:rsidR="00554ECA" w:rsidRDefault="00554ECA" w:rsidP="00253E6B">
      <w:pPr>
        <w:spacing w:line="276" w:lineRule="auto"/>
        <w:rPr>
          <w:rFonts w:cs="Times New Roman"/>
          <w:szCs w:val="20"/>
        </w:rPr>
      </w:pPr>
      <w:r w:rsidRPr="00554ECA">
        <w:rPr>
          <w:rFonts w:cs="Times New Roman"/>
          <w:szCs w:val="20"/>
        </w:rPr>
        <w:lastRenderedPageBreak/>
        <w:t>KRUITHOF,</w:t>
      </w:r>
      <w:r>
        <w:rPr>
          <w:rFonts w:cs="Times New Roman"/>
          <w:szCs w:val="20"/>
        </w:rPr>
        <w:t xml:space="preserve"> M., </w:t>
      </w:r>
      <w:r w:rsidRPr="00554ECA">
        <w:rPr>
          <w:rFonts w:cs="Times New Roman"/>
          <w:szCs w:val="20"/>
        </w:rPr>
        <w:t>“Privaatrechtelijke remedies tegen inbreuken op reglementaire gedragsregels inzake beleggingsdiensten: zorgplicht, know your customer en best execution” in DAEMS</w:t>
      </w:r>
      <w:r>
        <w:rPr>
          <w:rFonts w:cs="Times New Roman"/>
          <w:szCs w:val="20"/>
        </w:rPr>
        <w:t>,</w:t>
      </w:r>
      <w:r w:rsidRPr="00554ECA">
        <w:rPr>
          <w:rFonts w:cs="Times New Roman"/>
          <w:szCs w:val="20"/>
        </w:rPr>
        <w:t xml:space="preserve"> H.</w:t>
      </w:r>
      <w:r>
        <w:rPr>
          <w:rFonts w:cs="Times New Roman"/>
          <w:szCs w:val="20"/>
        </w:rPr>
        <w:t>,</w:t>
      </w:r>
      <w:r w:rsidRPr="00554ECA">
        <w:rPr>
          <w:rFonts w:cs="Times New Roman"/>
          <w:szCs w:val="20"/>
        </w:rPr>
        <w:t xml:space="preserve"> DE MEULENEERE</w:t>
      </w:r>
      <w:r>
        <w:rPr>
          <w:rFonts w:cs="Times New Roman"/>
          <w:szCs w:val="20"/>
        </w:rPr>
        <w:t>, I.</w:t>
      </w:r>
      <w:r w:rsidRPr="00554ECA">
        <w:rPr>
          <w:rFonts w:cs="Times New Roman"/>
          <w:szCs w:val="20"/>
        </w:rPr>
        <w:t>, FELTKAMP</w:t>
      </w:r>
      <w:r>
        <w:rPr>
          <w:rFonts w:cs="Times New Roman"/>
          <w:szCs w:val="20"/>
        </w:rPr>
        <w:t>, R.</w:t>
      </w:r>
      <w:r w:rsidRPr="00554ECA">
        <w:rPr>
          <w:rFonts w:cs="Times New Roman"/>
          <w:szCs w:val="20"/>
        </w:rPr>
        <w:t>, HOUSSA</w:t>
      </w:r>
      <w:r>
        <w:rPr>
          <w:rFonts w:cs="Times New Roman"/>
          <w:szCs w:val="20"/>
        </w:rPr>
        <w:t>, C.,</w:t>
      </w:r>
      <w:r w:rsidRPr="00554ECA">
        <w:rPr>
          <w:rFonts w:cs="Times New Roman"/>
          <w:szCs w:val="20"/>
        </w:rPr>
        <w:t xml:space="preserve"> en STEENNOT</w:t>
      </w:r>
      <w:r>
        <w:rPr>
          <w:rFonts w:cs="Times New Roman"/>
          <w:szCs w:val="20"/>
        </w:rPr>
        <w:t>, R.</w:t>
      </w:r>
      <w:r w:rsidRPr="00554ECA">
        <w:rPr>
          <w:rFonts w:cs="Times New Roman"/>
          <w:szCs w:val="20"/>
        </w:rPr>
        <w:t xml:space="preserve"> (eds.), </w:t>
      </w:r>
      <w:r w:rsidRPr="00554ECA">
        <w:rPr>
          <w:rFonts w:cs="Times New Roman"/>
          <w:i/>
          <w:szCs w:val="20"/>
        </w:rPr>
        <w:t>La protection du consommateur en droit financier - Bescherming van de consument in het financieel recht</w:t>
      </w:r>
      <w:r w:rsidRPr="00554ECA">
        <w:rPr>
          <w:rFonts w:cs="Times New Roman"/>
          <w:szCs w:val="20"/>
        </w:rPr>
        <w:t xml:space="preserve">, </w:t>
      </w:r>
      <w:r>
        <w:rPr>
          <w:rFonts w:cs="Times New Roman"/>
          <w:szCs w:val="20"/>
        </w:rPr>
        <w:t xml:space="preserve">Antwerpen, Intersentia, 2012, </w:t>
      </w:r>
      <w:r w:rsidRPr="00554ECA">
        <w:rPr>
          <w:rFonts w:cs="Times New Roman"/>
          <w:szCs w:val="20"/>
        </w:rPr>
        <w:t>155</w:t>
      </w:r>
      <w:r>
        <w:rPr>
          <w:rFonts w:cs="Times New Roman"/>
          <w:szCs w:val="20"/>
        </w:rPr>
        <w:t>-201.</w:t>
      </w:r>
    </w:p>
    <w:p w:rsidR="00B92320" w:rsidRPr="00B92320" w:rsidRDefault="00B92320" w:rsidP="00253E6B">
      <w:pPr>
        <w:spacing w:line="276" w:lineRule="auto"/>
        <w:rPr>
          <w:rFonts w:cs="Times New Roman"/>
          <w:szCs w:val="20"/>
          <w:lang w:val="en-US"/>
        </w:rPr>
      </w:pPr>
      <w:r w:rsidRPr="00B92320">
        <w:rPr>
          <w:rFonts w:cs="Times New Roman"/>
          <w:szCs w:val="20"/>
          <w:lang w:val="en-US"/>
        </w:rPr>
        <w:t>OEHLER</w:t>
      </w:r>
      <w:r w:rsidR="004C101A">
        <w:rPr>
          <w:rFonts w:cs="Times New Roman"/>
          <w:szCs w:val="20"/>
          <w:lang w:val="en-US"/>
        </w:rPr>
        <w:t>,</w:t>
      </w:r>
      <w:r w:rsidRPr="00B92320">
        <w:rPr>
          <w:rFonts w:cs="Times New Roman"/>
          <w:szCs w:val="20"/>
          <w:lang w:val="en-US"/>
        </w:rPr>
        <w:t xml:space="preserve"> </w:t>
      </w:r>
      <w:r w:rsidR="004C101A" w:rsidRPr="00B92320">
        <w:rPr>
          <w:rFonts w:cs="Times New Roman"/>
          <w:szCs w:val="20"/>
          <w:lang w:val="en-US"/>
        </w:rPr>
        <w:t>A.</w:t>
      </w:r>
      <w:r w:rsidR="004C101A">
        <w:rPr>
          <w:rFonts w:cs="Times New Roman"/>
          <w:szCs w:val="20"/>
          <w:lang w:val="en-US"/>
        </w:rPr>
        <w:t xml:space="preserve"> </w:t>
      </w:r>
      <w:r w:rsidRPr="00B92320">
        <w:rPr>
          <w:rFonts w:cs="Times New Roman"/>
          <w:szCs w:val="20"/>
          <w:lang w:val="en-US"/>
        </w:rPr>
        <w:t>en WENDT</w:t>
      </w:r>
      <w:r w:rsidR="004C101A">
        <w:rPr>
          <w:rFonts w:cs="Times New Roman"/>
          <w:szCs w:val="20"/>
          <w:lang w:val="en-US"/>
        </w:rPr>
        <w:t>,</w:t>
      </w:r>
      <w:r w:rsidR="004C101A" w:rsidRPr="004C101A">
        <w:rPr>
          <w:rFonts w:cs="Times New Roman"/>
          <w:szCs w:val="20"/>
          <w:lang w:val="en-US"/>
        </w:rPr>
        <w:t xml:space="preserve"> </w:t>
      </w:r>
      <w:r w:rsidR="004C101A" w:rsidRPr="00B92320">
        <w:rPr>
          <w:rFonts w:cs="Times New Roman"/>
          <w:szCs w:val="20"/>
          <w:lang w:val="en-US"/>
        </w:rPr>
        <w:t>S.</w:t>
      </w:r>
      <w:r w:rsidRPr="00B92320">
        <w:rPr>
          <w:rFonts w:cs="Times New Roman"/>
          <w:szCs w:val="20"/>
          <w:lang w:val="en-US"/>
        </w:rPr>
        <w:t xml:space="preserve">, “Good Consumer Information: the Information Paradigm at its (Dead) End?”, </w:t>
      </w:r>
      <w:r w:rsidRPr="004C101A">
        <w:rPr>
          <w:rFonts w:cs="Times New Roman"/>
          <w:i/>
          <w:szCs w:val="20"/>
          <w:lang w:val="en-US"/>
        </w:rPr>
        <w:t>Springer</w:t>
      </w:r>
      <w:r w:rsidRPr="00B92320">
        <w:rPr>
          <w:rFonts w:cs="Times New Roman"/>
          <w:szCs w:val="20"/>
          <w:lang w:val="en-US"/>
        </w:rPr>
        <w:t xml:space="preserve"> 2017, 179-1</w:t>
      </w:r>
      <w:r>
        <w:rPr>
          <w:rFonts w:cs="Times New Roman"/>
          <w:szCs w:val="20"/>
          <w:lang w:val="en-US"/>
        </w:rPr>
        <w:t>91</w:t>
      </w:r>
      <w:r w:rsidRPr="00B92320">
        <w:rPr>
          <w:rFonts w:cs="Times New Roman"/>
          <w:szCs w:val="20"/>
          <w:lang w:val="en-US"/>
        </w:rPr>
        <w:t>.</w:t>
      </w:r>
    </w:p>
    <w:p w:rsidR="000B190C" w:rsidRDefault="000B190C" w:rsidP="00253E6B">
      <w:pPr>
        <w:spacing w:line="276" w:lineRule="auto"/>
        <w:rPr>
          <w:rFonts w:cs="Times New Roman"/>
          <w:szCs w:val="20"/>
          <w:lang w:val="en-US"/>
        </w:rPr>
      </w:pPr>
      <w:r w:rsidRPr="000B190C">
        <w:rPr>
          <w:rFonts w:cs="Times New Roman"/>
          <w:szCs w:val="20"/>
          <w:lang w:val="en-US"/>
        </w:rPr>
        <w:t>SCHAEKEN, G., “Cliënt protection under Belgian financial law: recent developments in information duties, product intervention and beyond”,</w:t>
      </w:r>
      <w:r>
        <w:rPr>
          <w:rFonts w:cs="Times New Roman"/>
          <w:szCs w:val="20"/>
          <w:lang w:val="en-US"/>
        </w:rPr>
        <w:t xml:space="preserve"> </w:t>
      </w:r>
      <w:r>
        <w:rPr>
          <w:rFonts w:cs="Times New Roman"/>
          <w:i/>
          <w:szCs w:val="20"/>
          <w:lang w:val="en-US"/>
        </w:rPr>
        <w:t>RISF</w:t>
      </w:r>
      <w:r w:rsidRPr="000B190C">
        <w:rPr>
          <w:rFonts w:cs="Times New Roman"/>
          <w:szCs w:val="20"/>
          <w:lang w:val="en-US"/>
        </w:rPr>
        <w:t xml:space="preserve"> </w:t>
      </w:r>
      <w:r>
        <w:rPr>
          <w:rFonts w:cs="Times New Roman"/>
          <w:szCs w:val="20"/>
          <w:lang w:val="en-US"/>
        </w:rPr>
        <w:t>2014, afl. 4, 58-70.</w:t>
      </w:r>
    </w:p>
    <w:p w:rsidR="00191386" w:rsidRPr="00191386" w:rsidRDefault="00191386" w:rsidP="00253E6B">
      <w:pPr>
        <w:spacing w:line="276" w:lineRule="auto"/>
        <w:rPr>
          <w:rFonts w:cs="Times New Roman"/>
          <w:szCs w:val="20"/>
          <w:lang w:val="en-US"/>
        </w:rPr>
      </w:pPr>
      <w:r w:rsidRPr="00191386">
        <w:rPr>
          <w:rFonts w:cs="Times New Roman"/>
          <w:szCs w:val="20"/>
          <w:lang w:val="en-US"/>
        </w:rPr>
        <w:t>SERVAIS</w:t>
      </w:r>
      <w:r>
        <w:rPr>
          <w:rFonts w:cs="Times New Roman"/>
          <w:szCs w:val="20"/>
          <w:lang w:val="en-US"/>
        </w:rPr>
        <w:t>,</w:t>
      </w:r>
      <w:r w:rsidRPr="00191386">
        <w:rPr>
          <w:rFonts w:cs="Times New Roman"/>
          <w:szCs w:val="20"/>
          <w:lang w:val="en-US"/>
        </w:rPr>
        <w:t xml:space="preserve"> J.P</w:t>
      </w:r>
      <w:r>
        <w:rPr>
          <w:rFonts w:cs="Times New Roman"/>
          <w:szCs w:val="20"/>
          <w:lang w:val="en-US"/>
        </w:rPr>
        <w:t>.</w:t>
      </w:r>
      <w:r w:rsidRPr="00191386">
        <w:rPr>
          <w:rFonts w:cs="Times New Roman"/>
          <w:szCs w:val="20"/>
          <w:lang w:val="en-US"/>
        </w:rPr>
        <w:t>, “Les pouvoirs d’intervention sur les produits reconnus aux superviseurs: un nouvel outil en vue de la protection des investisseurs” in DE MEULENEERE</w:t>
      </w:r>
      <w:r w:rsidR="00B92320">
        <w:rPr>
          <w:rFonts w:cs="Times New Roman"/>
          <w:szCs w:val="20"/>
          <w:lang w:val="en-US"/>
        </w:rPr>
        <w:t>,</w:t>
      </w:r>
      <w:r w:rsidR="00B92320" w:rsidRPr="00B92320">
        <w:rPr>
          <w:rFonts w:cs="Times New Roman"/>
          <w:szCs w:val="20"/>
          <w:lang w:val="en-US"/>
        </w:rPr>
        <w:t xml:space="preserve"> </w:t>
      </w:r>
      <w:r w:rsidR="00B92320" w:rsidRPr="00191386">
        <w:rPr>
          <w:rFonts w:cs="Times New Roman"/>
          <w:szCs w:val="20"/>
          <w:lang w:val="en-US"/>
        </w:rPr>
        <w:t>I.</w:t>
      </w:r>
      <w:r w:rsidRPr="00191386">
        <w:rPr>
          <w:rFonts w:cs="Times New Roman"/>
          <w:szCs w:val="20"/>
          <w:lang w:val="en-US"/>
        </w:rPr>
        <w:t>, COLAERT</w:t>
      </w:r>
      <w:r w:rsidR="00B92320">
        <w:rPr>
          <w:rFonts w:cs="Times New Roman"/>
          <w:szCs w:val="20"/>
          <w:lang w:val="en-US"/>
        </w:rPr>
        <w:t>,</w:t>
      </w:r>
      <w:r w:rsidR="00B92320" w:rsidRPr="00B92320">
        <w:rPr>
          <w:rFonts w:cs="Times New Roman"/>
          <w:szCs w:val="20"/>
          <w:lang w:val="en-US"/>
        </w:rPr>
        <w:t xml:space="preserve"> </w:t>
      </w:r>
      <w:r w:rsidR="00B92320" w:rsidRPr="00191386">
        <w:rPr>
          <w:rFonts w:cs="Times New Roman"/>
          <w:szCs w:val="20"/>
          <w:lang w:val="en-US"/>
        </w:rPr>
        <w:t>V.</w:t>
      </w:r>
      <w:r w:rsidRPr="00191386">
        <w:rPr>
          <w:rFonts w:cs="Times New Roman"/>
          <w:szCs w:val="20"/>
          <w:lang w:val="en-US"/>
        </w:rPr>
        <w:t>, KUPERS</w:t>
      </w:r>
      <w:r w:rsidR="00B92320">
        <w:rPr>
          <w:rFonts w:cs="Times New Roman"/>
          <w:szCs w:val="20"/>
          <w:lang w:val="en-US"/>
        </w:rPr>
        <w:t>,</w:t>
      </w:r>
      <w:r w:rsidRPr="00191386">
        <w:rPr>
          <w:rFonts w:cs="Times New Roman"/>
          <w:szCs w:val="20"/>
          <w:lang w:val="en-US"/>
        </w:rPr>
        <w:t xml:space="preserve"> </w:t>
      </w:r>
      <w:r w:rsidR="00B92320" w:rsidRPr="00191386">
        <w:rPr>
          <w:rFonts w:cs="Times New Roman"/>
          <w:szCs w:val="20"/>
          <w:lang w:val="en-US"/>
        </w:rPr>
        <w:t>W.</w:t>
      </w:r>
      <w:r w:rsidR="00B92320">
        <w:rPr>
          <w:rFonts w:cs="Times New Roman"/>
          <w:szCs w:val="20"/>
          <w:lang w:val="en-US"/>
        </w:rPr>
        <w:t xml:space="preserve"> </w:t>
      </w:r>
      <w:r w:rsidRPr="00191386">
        <w:rPr>
          <w:rFonts w:cs="Times New Roman"/>
          <w:szCs w:val="20"/>
          <w:lang w:val="en-US"/>
        </w:rPr>
        <w:t>en PIJCKE</w:t>
      </w:r>
      <w:r w:rsidR="00B92320">
        <w:rPr>
          <w:rFonts w:cs="Times New Roman"/>
          <w:szCs w:val="20"/>
          <w:lang w:val="en-US"/>
        </w:rPr>
        <w:t>,</w:t>
      </w:r>
      <w:r w:rsidRPr="00191386">
        <w:rPr>
          <w:rFonts w:cs="Times New Roman"/>
          <w:szCs w:val="20"/>
          <w:lang w:val="en-US"/>
        </w:rPr>
        <w:t xml:space="preserve"> </w:t>
      </w:r>
      <w:r w:rsidR="00B92320" w:rsidRPr="00191386">
        <w:rPr>
          <w:rFonts w:cs="Times New Roman"/>
          <w:szCs w:val="20"/>
          <w:lang w:val="en-US"/>
        </w:rPr>
        <w:t xml:space="preserve">A.S. </w:t>
      </w:r>
      <w:r w:rsidR="0034743F">
        <w:rPr>
          <w:rFonts w:cs="Times New Roman"/>
          <w:szCs w:val="20"/>
          <w:lang w:val="en-US"/>
        </w:rPr>
        <w:t>(eds.),</w:t>
      </w:r>
      <w:r w:rsidRPr="00191386">
        <w:rPr>
          <w:rFonts w:cs="Times New Roman"/>
          <w:szCs w:val="20"/>
          <w:lang w:val="en-US"/>
        </w:rPr>
        <w:t xml:space="preserve"> </w:t>
      </w:r>
      <w:r w:rsidRPr="00191386">
        <w:rPr>
          <w:rFonts w:cs="Times New Roman"/>
          <w:i/>
          <w:szCs w:val="20"/>
          <w:lang w:val="en-US"/>
        </w:rPr>
        <w:t>MiFID II &amp; MiFIR: capita selecta</w:t>
      </w:r>
      <w:r w:rsidRPr="00191386">
        <w:rPr>
          <w:rFonts w:cs="Times New Roman"/>
          <w:szCs w:val="20"/>
          <w:lang w:val="en-US"/>
        </w:rPr>
        <w:t>, Louvain-La Neuve, Anthemis, 2018, 229</w:t>
      </w:r>
      <w:r>
        <w:rPr>
          <w:rFonts w:cs="Times New Roman"/>
          <w:szCs w:val="20"/>
          <w:lang w:val="en-US"/>
        </w:rPr>
        <w:t>-</w:t>
      </w:r>
      <w:r w:rsidRPr="00191386">
        <w:rPr>
          <w:rFonts w:cs="Times New Roman"/>
          <w:szCs w:val="20"/>
          <w:lang w:val="en-US"/>
        </w:rPr>
        <w:t>24</w:t>
      </w:r>
      <w:r>
        <w:rPr>
          <w:rFonts w:cs="Times New Roman"/>
          <w:szCs w:val="20"/>
          <w:lang w:val="en-US"/>
        </w:rPr>
        <w:t>8</w:t>
      </w:r>
      <w:r w:rsidRPr="00191386">
        <w:rPr>
          <w:rFonts w:cs="Times New Roman"/>
          <w:szCs w:val="20"/>
          <w:lang w:val="en-US"/>
        </w:rPr>
        <w:t>.</w:t>
      </w:r>
    </w:p>
    <w:p w:rsidR="00203ED7" w:rsidRDefault="00EA122D" w:rsidP="00253E6B">
      <w:pPr>
        <w:spacing w:line="276" w:lineRule="auto"/>
        <w:rPr>
          <w:rFonts w:cs="Times New Roman"/>
          <w:szCs w:val="20"/>
        </w:rPr>
      </w:pPr>
      <w:r w:rsidRPr="00EA122D">
        <w:rPr>
          <w:rFonts w:cs="Times New Roman"/>
          <w:szCs w:val="20"/>
        </w:rPr>
        <w:t>STEENNOT</w:t>
      </w:r>
      <w:r>
        <w:rPr>
          <w:rFonts w:cs="Times New Roman"/>
          <w:szCs w:val="20"/>
        </w:rPr>
        <w:t>,</w:t>
      </w:r>
      <w:r w:rsidRPr="00EA122D">
        <w:rPr>
          <w:rFonts w:cs="Times New Roman"/>
          <w:szCs w:val="20"/>
        </w:rPr>
        <w:t xml:space="preserve"> R., “De bescherming van de consument door de Autoriteit voor Financiële Diensten en Markten en het vrijwillig moratorium op de commercialisering van bijzonder ingewikkelde gestructureerde producten”, </w:t>
      </w:r>
      <w:r w:rsidRPr="000B190C">
        <w:rPr>
          <w:rFonts w:cs="Times New Roman"/>
          <w:i/>
          <w:szCs w:val="20"/>
        </w:rPr>
        <w:t>T.Verz.</w:t>
      </w:r>
      <w:r w:rsidRPr="00EA122D">
        <w:rPr>
          <w:rFonts w:cs="Times New Roman"/>
          <w:szCs w:val="20"/>
        </w:rPr>
        <w:t xml:space="preserve"> 2011, </w:t>
      </w:r>
      <w:r>
        <w:rPr>
          <w:rFonts w:cs="Times New Roman"/>
          <w:szCs w:val="20"/>
        </w:rPr>
        <w:t>115</w:t>
      </w:r>
      <w:r w:rsidRPr="00EA122D">
        <w:rPr>
          <w:rFonts w:cs="Times New Roman"/>
          <w:szCs w:val="20"/>
        </w:rPr>
        <w:t>-14</w:t>
      </w:r>
      <w:r>
        <w:rPr>
          <w:rFonts w:cs="Times New Roman"/>
          <w:szCs w:val="20"/>
        </w:rPr>
        <w:t>7</w:t>
      </w:r>
      <w:r w:rsidRPr="00EA122D">
        <w:rPr>
          <w:rFonts w:cs="Times New Roman"/>
          <w:szCs w:val="20"/>
        </w:rPr>
        <w:t>.</w:t>
      </w:r>
    </w:p>
    <w:p w:rsidR="00EA122D" w:rsidRDefault="00EA122D" w:rsidP="00EA122D">
      <w:pPr>
        <w:spacing w:line="276" w:lineRule="auto"/>
        <w:rPr>
          <w:rFonts w:cs="Times New Roman"/>
          <w:szCs w:val="20"/>
        </w:rPr>
      </w:pPr>
      <w:r w:rsidRPr="00EA122D">
        <w:rPr>
          <w:rFonts w:cs="Times New Roman"/>
          <w:szCs w:val="20"/>
        </w:rPr>
        <w:t>TISON</w:t>
      </w:r>
      <w:r>
        <w:rPr>
          <w:rFonts w:cs="Times New Roman"/>
          <w:szCs w:val="20"/>
        </w:rPr>
        <w:t>,</w:t>
      </w:r>
      <w:r w:rsidRPr="00EA122D">
        <w:rPr>
          <w:rFonts w:cs="Times New Roman"/>
          <w:szCs w:val="20"/>
        </w:rPr>
        <w:t xml:space="preserve"> M., “De intrusieve toezichthouder en het informatieparadigma: Beschouwingen bij de regulering van financiële productinterventie” in WYMEERSCH</w:t>
      </w:r>
      <w:r>
        <w:rPr>
          <w:rFonts w:cs="Times New Roman"/>
          <w:szCs w:val="20"/>
        </w:rPr>
        <w:t>,</w:t>
      </w:r>
      <w:r w:rsidRPr="00EA122D">
        <w:rPr>
          <w:rFonts w:cs="Times New Roman"/>
          <w:szCs w:val="20"/>
        </w:rPr>
        <w:t xml:space="preserve"> E., HOUBEN R.</w:t>
      </w:r>
      <w:r>
        <w:rPr>
          <w:rFonts w:cs="Times New Roman"/>
          <w:szCs w:val="20"/>
        </w:rPr>
        <w:t xml:space="preserve"> </w:t>
      </w:r>
      <w:r w:rsidRPr="00EA122D">
        <w:rPr>
          <w:rFonts w:cs="Times New Roman"/>
          <w:szCs w:val="20"/>
        </w:rPr>
        <w:t>en DIRIX</w:t>
      </w:r>
      <w:r>
        <w:rPr>
          <w:rFonts w:cs="Times New Roman"/>
          <w:szCs w:val="20"/>
        </w:rPr>
        <w:t>,</w:t>
      </w:r>
      <w:r w:rsidRPr="00EA122D">
        <w:rPr>
          <w:rFonts w:cs="Times New Roman"/>
          <w:szCs w:val="20"/>
        </w:rPr>
        <w:t xml:space="preserve"> E. (eds.), </w:t>
      </w:r>
      <w:r w:rsidRPr="00EA122D">
        <w:rPr>
          <w:rFonts w:cs="Times New Roman"/>
          <w:i/>
          <w:szCs w:val="20"/>
        </w:rPr>
        <w:t>In het vennootschapsbelang</w:t>
      </w:r>
      <w:r w:rsidRPr="00EA122D">
        <w:rPr>
          <w:rFonts w:cs="Times New Roman"/>
          <w:szCs w:val="20"/>
        </w:rPr>
        <w:t xml:space="preserve">, Antwerpen, Intersentia, 2017, </w:t>
      </w:r>
      <w:r>
        <w:rPr>
          <w:rFonts w:cs="Times New Roman"/>
          <w:szCs w:val="20"/>
        </w:rPr>
        <w:t>473-487</w:t>
      </w:r>
      <w:r w:rsidRPr="00EA122D">
        <w:rPr>
          <w:rFonts w:cs="Times New Roman"/>
          <w:szCs w:val="20"/>
        </w:rPr>
        <w:t>.</w:t>
      </w:r>
    </w:p>
    <w:p w:rsidR="001E09A9" w:rsidRPr="00EA122D" w:rsidRDefault="001E09A9" w:rsidP="00EA122D">
      <w:pPr>
        <w:spacing w:line="276" w:lineRule="auto"/>
        <w:rPr>
          <w:rFonts w:cs="Times New Roman"/>
          <w:szCs w:val="20"/>
        </w:rPr>
      </w:pPr>
      <w:r w:rsidRPr="001E09A9">
        <w:rPr>
          <w:rFonts w:cs="Times New Roman"/>
          <w:szCs w:val="20"/>
        </w:rPr>
        <w:t>VANDAELE</w:t>
      </w:r>
      <w:r>
        <w:rPr>
          <w:rFonts w:cs="Times New Roman"/>
          <w:szCs w:val="20"/>
        </w:rPr>
        <w:t>,</w:t>
      </w:r>
      <w:r w:rsidRPr="001E09A9">
        <w:rPr>
          <w:rFonts w:cs="Times New Roman"/>
          <w:szCs w:val="20"/>
        </w:rPr>
        <w:t xml:space="preserve"> A-S., </w:t>
      </w:r>
      <w:r w:rsidRPr="001E09A9">
        <w:rPr>
          <w:rFonts w:cs="Times New Roman"/>
          <w:bCs/>
          <w:i/>
          <w:szCs w:val="20"/>
        </w:rPr>
        <w:t>De volle rechtsmacht bij de beoordeling van bestuurshandelingen: de rechtsmacht van de Raad van State in het annulatiecontentieux</w:t>
      </w:r>
      <w:r w:rsidRPr="001E09A9">
        <w:rPr>
          <w:rFonts w:cs="Times New Roman"/>
          <w:bCs/>
          <w:szCs w:val="20"/>
        </w:rPr>
        <w:t xml:space="preserve">, Brugge, Die Keure, 2014, </w:t>
      </w:r>
      <w:r>
        <w:rPr>
          <w:rFonts w:cs="Times New Roman"/>
          <w:bCs/>
          <w:szCs w:val="20"/>
        </w:rPr>
        <w:t>104 p</w:t>
      </w:r>
      <w:r w:rsidRPr="001E09A9">
        <w:rPr>
          <w:rFonts w:cs="Times New Roman"/>
          <w:bCs/>
          <w:szCs w:val="20"/>
        </w:rPr>
        <w:t>.</w:t>
      </w:r>
    </w:p>
    <w:p w:rsidR="00EC51EC" w:rsidRDefault="00EC51EC" w:rsidP="00253E6B">
      <w:pPr>
        <w:spacing w:line="276" w:lineRule="auto"/>
        <w:rPr>
          <w:rFonts w:cs="Times New Roman"/>
          <w:szCs w:val="20"/>
        </w:rPr>
      </w:pPr>
    </w:p>
    <w:p w:rsidR="00554ECA" w:rsidRPr="00554ECA" w:rsidRDefault="00554ECA" w:rsidP="00253E6B">
      <w:pPr>
        <w:spacing w:line="276" w:lineRule="auto"/>
        <w:rPr>
          <w:rFonts w:cs="Times New Roman"/>
          <w:i/>
          <w:szCs w:val="20"/>
        </w:rPr>
      </w:pPr>
      <w:r w:rsidRPr="00554ECA">
        <w:rPr>
          <w:rFonts w:cs="Times New Roman"/>
          <w:i/>
          <w:szCs w:val="20"/>
        </w:rPr>
        <w:t>BELANGRIJKSTE RECHTSPRAAK</w:t>
      </w:r>
    </w:p>
    <w:p w:rsidR="00554ECA" w:rsidRDefault="00CC04A3" w:rsidP="00253E6B">
      <w:pPr>
        <w:spacing w:line="276" w:lineRule="auto"/>
        <w:rPr>
          <w:rFonts w:cs="Times New Roman"/>
          <w:szCs w:val="20"/>
        </w:rPr>
      </w:pPr>
      <w:r w:rsidRPr="00CC04A3">
        <w:rPr>
          <w:rFonts w:cs="Times New Roman"/>
          <w:szCs w:val="20"/>
        </w:rPr>
        <w:t>RvS 4 maart 2016, nr. 234.037.</w:t>
      </w:r>
    </w:p>
    <w:p w:rsidR="000C2035" w:rsidRPr="00BC1871" w:rsidRDefault="000C2035" w:rsidP="00253E6B">
      <w:pPr>
        <w:spacing w:line="276" w:lineRule="auto"/>
        <w:rPr>
          <w:rFonts w:cs="Times New Roman"/>
          <w:szCs w:val="20"/>
        </w:rPr>
      </w:pPr>
    </w:p>
    <w:p w:rsidR="00BC1871" w:rsidRPr="00554ECA" w:rsidRDefault="00BC1871" w:rsidP="00253E6B">
      <w:pPr>
        <w:spacing w:line="276" w:lineRule="auto"/>
        <w:rPr>
          <w:rFonts w:cs="Times New Roman"/>
          <w:i/>
          <w:szCs w:val="20"/>
        </w:rPr>
      </w:pPr>
      <w:r w:rsidRPr="00554ECA">
        <w:rPr>
          <w:rFonts w:cs="Times New Roman"/>
          <w:i/>
          <w:szCs w:val="20"/>
        </w:rPr>
        <w:t>COMMENTAAR</w:t>
      </w:r>
    </w:p>
    <w:p w:rsidR="00BC1871" w:rsidRPr="00996379" w:rsidRDefault="00BC1871" w:rsidP="00253E6B">
      <w:pPr>
        <w:spacing w:line="276" w:lineRule="auto"/>
        <w:rPr>
          <w:rFonts w:cs="Times New Roman"/>
          <w:i/>
          <w:szCs w:val="20"/>
        </w:rPr>
      </w:pPr>
      <w:r w:rsidRPr="00996379">
        <w:rPr>
          <w:rFonts w:cs="Times New Roman"/>
          <w:i/>
          <w:szCs w:val="20"/>
        </w:rPr>
        <w:t>Schema</w:t>
      </w:r>
    </w:p>
    <w:p w:rsidR="00BC1871" w:rsidRPr="000C2035" w:rsidRDefault="00554ECA" w:rsidP="00B92320">
      <w:pPr>
        <w:spacing w:line="276" w:lineRule="auto"/>
        <w:contextualSpacing/>
        <w:rPr>
          <w:rFonts w:cs="Times New Roman"/>
          <w:i/>
          <w:szCs w:val="20"/>
        </w:rPr>
      </w:pPr>
      <w:r w:rsidRPr="000C2035">
        <w:rPr>
          <w:rFonts w:cs="Times New Roman"/>
          <w:i/>
          <w:szCs w:val="20"/>
        </w:rPr>
        <w:t>I. Inleiding</w:t>
      </w:r>
    </w:p>
    <w:p w:rsidR="00554ECA" w:rsidRPr="000C2035" w:rsidRDefault="00554ECA" w:rsidP="00B92320">
      <w:pPr>
        <w:spacing w:line="276" w:lineRule="auto"/>
        <w:contextualSpacing/>
        <w:rPr>
          <w:rFonts w:cs="Times New Roman"/>
          <w:i/>
          <w:szCs w:val="20"/>
        </w:rPr>
      </w:pPr>
      <w:r w:rsidRPr="000C2035">
        <w:rPr>
          <w:rFonts w:cs="Times New Roman"/>
          <w:i/>
          <w:szCs w:val="20"/>
        </w:rPr>
        <w:t>II. Gemeenschappelijke aspecten</w:t>
      </w:r>
    </w:p>
    <w:p w:rsidR="00554ECA" w:rsidRPr="000C2035" w:rsidRDefault="00554ECA" w:rsidP="00B92320">
      <w:pPr>
        <w:spacing w:line="276" w:lineRule="auto"/>
        <w:contextualSpacing/>
        <w:rPr>
          <w:rFonts w:cs="Times New Roman"/>
          <w:i/>
          <w:szCs w:val="20"/>
        </w:rPr>
      </w:pPr>
      <w:r w:rsidRPr="000C2035">
        <w:rPr>
          <w:rFonts w:cs="Times New Roman"/>
          <w:i/>
          <w:szCs w:val="20"/>
        </w:rPr>
        <w:t>III. Drie bevoegdheden van artikel 30bis</w:t>
      </w:r>
    </w:p>
    <w:p w:rsidR="00554ECA" w:rsidRDefault="00554ECA" w:rsidP="00B92320">
      <w:pPr>
        <w:spacing w:line="276" w:lineRule="auto"/>
        <w:ind w:left="397" w:hanging="113"/>
        <w:contextualSpacing/>
        <w:rPr>
          <w:rFonts w:cs="Times New Roman"/>
          <w:i/>
          <w:szCs w:val="20"/>
        </w:rPr>
      </w:pPr>
      <w:r w:rsidRPr="000C2035">
        <w:rPr>
          <w:rFonts w:cs="Times New Roman"/>
          <w:i/>
          <w:szCs w:val="20"/>
        </w:rPr>
        <w:t>A. Productinterventie</w:t>
      </w:r>
    </w:p>
    <w:p w:rsidR="00F52C88" w:rsidRDefault="00F52C88" w:rsidP="00F52C88">
      <w:pPr>
        <w:spacing w:line="276" w:lineRule="auto"/>
        <w:ind w:left="567" w:hanging="283"/>
        <w:contextualSpacing/>
        <w:rPr>
          <w:rFonts w:cs="Times New Roman"/>
          <w:i/>
          <w:szCs w:val="20"/>
        </w:rPr>
      </w:pPr>
      <w:r>
        <w:rPr>
          <w:rFonts w:cs="Times New Roman"/>
          <w:i/>
          <w:szCs w:val="20"/>
        </w:rPr>
        <w:tab/>
        <w:t xml:space="preserve">1. </w:t>
      </w:r>
      <w:r w:rsidRPr="00F52C88">
        <w:rPr>
          <w:rFonts w:cs="Times New Roman"/>
          <w:i/>
          <w:szCs w:val="20"/>
        </w:rPr>
        <w:t>Productinterventies naar Belgisch recht</w:t>
      </w:r>
    </w:p>
    <w:p w:rsidR="00F52C88" w:rsidRDefault="00F52C88" w:rsidP="00F52C88">
      <w:pPr>
        <w:spacing w:line="276" w:lineRule="auto"/>
        <w:ind w:left="567" w:hanging="283"/>
        <w:contextualSpacing/>
        <w:rPr>
          <w:rFonts w:cs="Times New Roman"/>
          <w:i/>
          <w:szCs w:val="20"/>
        </w:rPr>
      </w:pPr>
      <w:r>
        <w:rPr>
          <w:rFonts w:cs="Times New Roman"/>
          <w:i/>
          <w:szCs w:val="20"/>
        </w:rPr>
        <w:tab/>
        <w:t xml:space="preserve">2. </w:t>
      </w:r>
      <w:r w:rsidRPr="00F52C88">
        <w:rPr>
          <w:rFonts w:cs="Times New Roman"/>
          <w:i/>
          <w:szCs w:val="20"/>
        </w:rPr>
        <w:t>Verhouding tot de Europeesrechtelijke interventieregimes</w:t>
      </w:r>
    </w:p>
    <w:p w:rsidR="00F52C88" w:rsidRPr="000C2035" w:rsidRDefault="00F52C88" w:rsidP="00F52C88">
      <w:pPr>
        <w:spacing w:line="276" w:lineRule="auto"/>
        <w:ind w:left="567" w:hanging="283"/>
        <w:contextualSpacing/>
        <w:rPr>
          <w:rFonts w:cs="Times New Roman"/>
          <w:i/>
          <w:szCs w:val="20"/>
        </w:rPr>
      </w:pPr>
      <w:r>
        <w:rPr>
          <w:rFonts w:cs="Times New Roman"/>
          <w:i/>
          <w:szCs w:val="20"/>
        </w:rPr>
        <w:tab/>
        <w:t xml:space="preserve">3. </w:t>
      </w:r>
      <w:r w:rsidRPr="00F52C88">
        <w:rPr>
          <w:rFonts w:cs="Times New Roman"/>
          <w:i/>
          <w:szCs w:val="20"/>
        </w:rPr>
        <w:t>Toekomstige werking van de bestaande FSMA-reglementen naar Belgisch recht</w:t>
      </w:r>
    </w:p>
    <w:p w:rsidR="00554ECA" w:rsidRPr="000C2035" w:rsidRDefault="00554ECA" w:rsidP="00B92320">
      <w:pPr>
        <w:spacing w:line="276" w:lineRule="auto"/>
        <w:ind w:left="397" w:hanging="113"/>
        <w:contextualSpacing/>
        <w:rPr>
          <w:rFonts w:cs="Times New Roman"/>
          <w:i/>
          <w:szCs w:val="20"/>
        </w:rPr>
      </w:pPr>
      <w:r w:rsidRPr="000C2035">
        <w:rPr>
          <w:rFonts w:cs="Times New Roman"/>
          <w:i/>
          <w:szCs w:val="20"/>
        </w:rPr>
        <w:t>B. Bevorder</w:t>
      </w:r>
      <w:r w:rsidR="00F83437">
        <w:rPr>
          <w:rFonts w:cs="Times New Roman"/>
          <w:i/>
          <w:szCs w:val="20"/>
        </w:rPr>
        <w:t>ing</w:t>
      </w:r>
      <w:r w:rsidRPr="000C2035">
        <w:rPr>
          <w:rFonts w:cs="Times New Roman"/>
          <w:i/>
          <w:szCs w:val="20"/>
        </w:rPr>
        <w:t xml:space="preserve"> van de transparantie</w:t>
      </w:r>
    </w:p>
    <w:p w:rsidR="00554ECA" w:rsidRPr="000C2035" w:rsidRDefault="00554ECA" w:rsidP="00B92320">
      <w:pPr>
        <w:spacing w:line="276" w:lineRule="auto"/>
        <w:ind w:left="397" w:hanging="113"/>
        <w:contextualSpacing/>
        <w:rPr>
          <w:rFonts w:cs="Times New Roman"/>
          <w:i/>
          <w:szCs w:val="20"/>
        </w:rPr>
      </w:pPr>
      <w:r w:rsidRPr="000C2035">
        <w:rPr>
          <w:rFonts w:cs="Times New Roman"/>
          <w:i/>
          <w:szCs w:val="20"/>
        </w:rPr>
        <w:t>C. Referentie-vragenlijsten</w:t>
      </w:r>
    </w:p>
    <w:p w:rsidR="00554ECA" w:rsidRPr="000C2035" w:rsidRDefault="00554ECA" w:rsidP="00B92320">
      <w:pPr>
        <w:spacing w:line="276" w:lineRule="auto"/>
        <w:contextualSpacing/>
        <w:rPr>
          <w:rFonts w:cs="Times New Roman"/>
          <w:i/>
          <w:szCs w:val="20"/>
        </w:rPr>
      </w:pPr>
      <w:r w:rsidRPr="000C2035">
        <w:rPr>
          <w:rFonts w:cs="Times New Roman"/>
          <w:i/>
          <w:szCs w:val="20"/>
        </w:rPr>
        <w:t>IV. Sancties</w:t>
      </w:r>
    </w:p>
    <w:p w:rsidR="00554ECA" w:rsidRDefault="00554ECA" w:rsidP="00B92320">
      <w:pPr>
        <w:spacing w:line="276" w:lineRule="auto"/>
        <w:rPr>
          <w:rFonts w:cs="Times New Roman"/>
          <w:szCs w:val="20"/>
        </w:rPr>
      </w:pPr>
      <w:r w:rsidRPr="000C2035">
        <w:rPr>
          <w:rFonts w:cs="Times New Roman"/>
          <w:i/>
          <w:szCs w:val="20"/>
        </w:rPr>
        <w:t>V. Enkele slotbeschouwingen</w:t>
      </w:r>
    </w:p>
    <w:p w:rsidR="00B92320" w:rsidRDefault="00B92320" w:rsidP="000C2035">
      <w:pPr>
        <w:spacing w:line="276" w:lineRule="auto"/>
        <w:rPr>
          <w:rFonts w:cs="Times New Roman"/>
          <w:szCs w:val="20"/>
        </w:rPr>
      </w:pPr>
    </w:p>
    <w:p w:rsidR="00877B46" w:rsidRPr="00B92320" w:rsidRDefault="00877B46" w:rsidP="000C2035">
      <w:pPr>
        <w:spacing w:line="276" w:lineRule="auto"/>
        <w:rPr>
          <w:rFonts w:cs="Times New Roman"/>
          <w:szCs w:val="20"/>
        </w:rPr>
      </w:pPr>
    </w:p>
    <w:p w:rsidR="00DA03CC" w:rsidRPr="00996379" w:rsidRDefault="009F6533" w:rsidP="00253E6B">
      <w:pPr>
        <w:spacing w:line="276" w:lineRule="auto"/>
        <w:rPr>
          <w:rFonts w:cs="Times New Roman"/>
          <w:b/>
          <w:szCs w:val="20"/>
        </w:rPr>
      </w:pPr>
      <w:r w:rsidRPr="00996379">
        <w:rPr>
          <w:rFonts w:cs="Times New Roman"/>
          <w:b/>
          <w:szCs w:val="20"/>
        </w:rPr>
        <w:lastRenderedPageBreak/>
        <w:t xml:space="preserve">I. </w:t>
      </w:r>
      <w:r w:rsidR="00DA03CC" w:rsidRPr="00996379">
        <w:rPr>
          <w:rFonts w:cs="Times New Roman"/>
          <w:b/>
          <w:szCs w:val="20"/>
        </w:rPr>
        <w:t>Inleiding</w:t>
      </w:r>
    </w:p>
    <w:p w:rsidR="00DB2A27" w:rsidRPr="00E66DE1" w:rsidRDefault="00201DC7" w:rsidP="00253E6B">
      <w:pPr>
        <w:pStyle w:val="Lijstalinea"/>
        <w:numPr>
          <w:ilvl w:val="0"/>
          <w:numId w:val="3"/>
        </w:numPr>
        <w:spacing w:line="276" w:lineRule="auto"/>
        <w:rPr>
          <w:rFonts w:cs="Times New Roman"/>
          <w:szCs w:val="20"/>
        </w:rPr>
      </w:pPr>
      <w:r w:rsidRPr="009F6533">
        <w:rPr>
          <w:rFonts w:cs="Times New Roman"/>
          <w:i/>
          <w:szCs w:val="20"/>
        </w:rPr>
        <w:t>Algemene duiding</w:t>
      </w:r>
      <w:r w:rsidR="00E66DE1">
        <w:rPr>
          <w:rFonts w:cs="Times New Roman"/>
          <w:szCs w:val="20"/>
        </w:rPr>
        <w:t xml:space="preserve"> ‒</w:t>
      </w:r>
      <w:r w:rsidRPr="00E66DE1">
        <w:rPr>
          <w:rFonts w:cs="Times New Roman"/>
          <w:szCs w:val="20"/>
        </w:rPr>
        <w:t xml:space="preserve"> </w:t>
      </w:r>
      <w:r w:rsidR="00DB2A27" w:rsidRPr="00E66DE1">
        <w:rPr>
          <w:rFonts w:cs="Times New Roman"/>
          <w:szCs w:val="20"/>
        </w:rPr>
        <w:t xml:space="preserve">Dit wetsartikel kadert in een tendens van financiële </w:t>
      </w:r>
      <w:r w:rsidRPr="00E66DE1">
        <w:rPr>
          <w:rFonts w:cs="Times New Roman"/>
          <w:szCs w:val="20"/>
        </w:rPr>
        <w:t>regelgeving</w:t>
      </w:r>
      <w:r w:rsidR="00DB2A27" w:rsidRPr="00E66DE1">
        <w:rPr>
          <w:rFonts w:cs="Times New Roman"/>
          <w:szCs w:val="20"/>
        </w:rPr>
        <w:t xml:space="preserve"> </w:t>
      </w:r>
      <w:r w:rsidR="00790E76">
        <w:rPr>
          <w:rFonts w:cs="Times New Roman"/>
          <w:szCs w:val="20"/>
        </w:rPr>
        <w:t>die</w:t>
      </w:r>
      <w:r w:rsidR="00DB2A27" w:rsidRPr="00E66DE1">
        <w:rPr>
          <w:rFonts w:cs="Times New Roman"/>
          <w:szCs w:val="20"/>
        </w:rPr>
        <w:t xml:space="preserve"> rekening </w:t>
      </w:r>
      <w:r w:rsidR="00790E76">
        <w:rPr>
          <w:rFonts w:cs="Times New Roman"/>
          <w:szCs w:val="20"/>
        </w:rPr>
        <w:t>houdt</w:t>
      </w:r>
      <w:r w:rsidR="00DB2A27" w:rsidRPr="00E66DE1">
        <w:rPr>
          <w:rFonts w:cs="Times New Roman"/>
          <w:szCs w:val="20"/>
        </w:rPr>
        <w:t xml:space="preserve"> met de financiële ongeletterdheid van </w:t>
      </w:r>
      <w:r w:rsidR="00BD33F8">
        <w:rPr>
          <w:rFonts w:cs="Times New Roman"/>
          <w:szCs w:val="20"/>
        </w:rPr>
        <w:t>particuliere</w:t>
      </w:r>
      <w:r w:rsidR="00DB2A27" w:rsidRPr="00E66DE1">
        <w:rPr>
          <w:rFonts w:cs="Times New Roman"/>
          <w:szCs w:val="20"/>
        </w:rPr>
        <w:t xml:space="preserve"> (of, ‘</w:t>
      </w:r>
      <w:r w:rsidR="00DB2A27" w:rsidRPr="00E66DE1">
        <w:rPr>
          <w:rFonts w:cs="Times New Roman"/>
          <w:i/>
          <w:szCs w:val="20"/>
        </w:rPr>
        <w:t>retail</w:t>
      </w:r>
      <w:r w:rsidR="00DB2A27" w:rsidRPr="00E66DE1">
        <w:rPr>
          <w:rFonts w:cs="Times New Roman"/>
          <w:szCs w:val="20"/>
        </w:rPr>
        <w:t>’) belegger</w:t>
      </w:r>
      <w:r w:rsidR="00790E76">
        <w:rPr>
          <w:rFonts w:cs="Times New Roman"/>
          <w:szCs w:val="20"/>
        </w:rPr>
        <w:t>s</w:t>
      </w:r>
      <w:r w:rsidR="003D318C">
        <w:rPr>
          <w:rFonts w:cs="Times New Roman"/>
          <w:szCs w:val="20"/>
        </w:rPr>
        <w:t xml:space="preserve"> </w:t>
      </w:r>
      <w:r w:rsidR="00FB4038">
        <w:rPr>
          <w:rFonts w:cs="Times New Roman"/>
          <w:szCs w:val="20"/>
        </w:rPr>
        <w:t xml:space="preserve">en </w:t>
      </w:r>
      <w:r w:rsidR="00DB2A27" w:rsidRPr="00E66DE1">
        <w:rPr>
          <w:rFonts w:cs="Times New Roman"/>
          <w:szCs w:val="20"/>
        </w:rPr>
        <w:t xml:space="preserve">ook de emotionele en sociale </w:t>
      </w:r>
      <w:r w:rsidR="00996379">
        <w:rPr>
          <w:rFonts w:cs="Times New Roman"/>
          <w:szCs w:val="20"/>
        </w:rPr>
        <w:t>factoren</w:t>
      </w:r>
      <w:r w:rsidR="00DB2A27" w:rsidRPr="00E66DE1">
        <w:rPr>
          <w:rFonts w:cs="Times New Roman"/>
          <w:szCs w:val="20"/>
        </w:rPr>
        <w:t xml:space="preserve"> die het rationele beslissingsproces verstoren.</w:t>
      </w:r>
      <w:r>
        <w:rPr>
          <w:rStyle w:val="Voetnootmarkering"/>
          <w:rFonts w:cs="Times New Roman"/>
          <w:szCs w:val="20"/>
        </w:rPr>
        <w:footnoteReference w:id="1"/>
      </w:r>
      <w:r w:rsidR="00DB2A27" w:rsidRPr="00E66DE1">
        <w:rPr>
          <w:rFonts w:cs="Times New Roman"/>
          <w:szCs w:val="20"/>
        </w:rPr>
        <w:t xml:space="preserve"> </w:t>
      </w:r>
      <w:r w:rsidR="00412A06">
        <w:rPr>
          <w:rFonts w:cs="Times New Roman"/>
          <w:szCs w:val="20"/>
        </w:rPr>
        <w:t>Sinds geruime tijd is</w:t>
      </w:r>
      <w:r w:rsidR="00CC3512">
        <w:rPr>
          <w:rFonts w:cs="Times New Roman"/>
          <w:szCs w:val="20"/>
        </w:rPr>
        <w:t xml:space="preserve"> immers</w:t>
      </w:r>
      <w:r w:rsidR="00412A06">
        <w:rPr>
          <w:rFonts w:cs="Times New Roman"/>
          <w:szCs w:val="20"/>
        </w:rPr>
        <w:t xml:space="preserve"> duidelijk</w:t>
      </w:r>
      <w:r w:rsidRPr="00E66DE1">
        <w:rPr>
          <w:rFonts w:cs="Times New Roman"/>
          <w:szCs w:val="20"/>
        </w:rPr>
        <w:t xml:space="preserve"> dat loutere informatieverstrekking </w:t>
      </w:r>
      <w:r w:rsidR="006C35AB">
        <w:rPr>
          <w:rFonts w:cs="Times New Roman"/>
          <w:szCs w:val="20"/>
        </w:rPr>
        <w:t>om</w:t>
      </w:r>
      <w:r w:rsidRPr="00E66DE1">
        <w:rPr>
          <w:rFonts w:cs="Times New Roman"/>
          <w:szCs w:val="20"/>
        </w:rPr>
        <w:t xml:space="preserve"> deze categorie beleggers</w:t>
      </w:r>
      <w:r w:rsidR="006C35AB">
        <w:rPr>
          <w:rFonts w:cs="Times New Roman"/>
          <w:szCs w:val="20"/>
        </w:rPr>
        <w:t xml:space="preserve"> te beschermen</w:t>
      </w:r>
      <w:r w:rsidRPr="00E66DE1">
        <w:rPr>
          <w:rFonts w:cs="Times New Roman"/>
          <w:szCs w:val="20"/>
        </w:rPr>
        <w:t xml:space="preserve"> niet volst</w:t>
      </w:r>
      <w:r w:rsidR="00412A06">
        <w:rPr>
          <w:rFonts w:cs="Times New Roman"/>
          <w:szCs w:val="20"/>
        </w:rPr>
        <w:t>aat</w:t>
      </w:r>
      <w:r w:rsidRPr="00E66DE1">
        <w:rPr>
          <w:rFonts w:cs="Times New Roman"/>
          <w:szCs w:val="20"/>
        </w:rPr>
        <w:t>.</w:t>
      </w:r>
      <w:r w:rsidR="00253E6B">
        <w:rPr>
          <w:rStyle w:val="Voetnootmarkering"/>
          <w:rFonts w:cs="Times New Roman"/>
          <w:szCs w:val="20"/>
        </w:rPr>
        <w:footnoteReference w:id="2"/>
      </w:r>
      <w:r w:rsidRPr="00E66DE1">
        <w:rPr>
          <w:rFonts w:cs="Times New Roman"/>
          <w:szCs w:val="20"/>
        </w:rPr>
        <w:t xml:space="preserve"> </w:t>
      </w:r>
      <w:r w:rsidR="00A5065A">
        <w:rPr>
          <w:rFonts w:cs="Times New Roman"/>
          <w:szCs w:val="20"/>
        </w:rPr>
        <w:t>Met de invoering van artikel</w:t>
      </w:r>
      <w:r w:rsidR="00253E6B">
        <w:rPr>
          <w:rFonts w:cs="Times New Roman"/>
          <w:szCs w:val="20"/>
        </w:rPr>
        <w:t xml:space="preserve"> </w:t>
      </w:r>
      <w:r w:rsidR="00A5065A">
        <w:rPr>
          <w:rFonts w:cs="Times New Roman"/>
          <w:szCs w:val="20"/>
        </w:rPr>
        <w:t>49, §3 Wet Financieel Toezicht</w:t>
      </w:r>
      <w:r w:rsidR="00CC3512">
        <w:rPr>
          <w:rFonts w:cs="Times New Roman"/>
          <w:szCs w:val="20"/>
        </w:rPr>
        <w:t xml:space="preserve"> (WFT)</w:t>
      </w:r>
      <w:r w:rsidR="00A5065A">
        <w:rPr>
          <w:rFonts w:cs="Times New Roman"/>
          <w:szCs w:val="20"/>
        </w:rPr>
        <w:t xml:space="preserve"> </w:t>
      </w:r>
      <w:r w:rsidR="00253E6B">
        <w:rPr>
          <w:rFonts w:cs="Times New Roman"/>
          <w:szCs w:val="20"/>
        </w:rPr>
        <w:t>in 2010</w:t>
      </w:r>
      <w:r w:rsidR="00253E6B">
        <w:rPr>
          <w:rStyle w:val="Voetnootmarkering"/>
          <w:rFonts w:cs="Times New Roman"/>
          <w:szCs w:val="20"/>
        </w:rPr>
        <w:footnoteReference w:id="3"/>
      </w:r>
      <w:r w:rsidR="00253E6B">
        <w:rPr>
          <w:rFonts w:cs="Times New Roman"/>
          <w:szCs w:val="20"/>
        </w:rPr>
        <w:t xml:space="preserve"> </w:t>
      </w:r>
      <w:r w:rsidRPr="00E66DE1">
        <w:rPr>
          <w:rFonts w:cs="Times New Roman"/>
          <w:szCs w:val="20"/>
        </w:rPr>
        <w:t>koos de Belgische wetgever</w:t>
      </w:r>
      <w:r w:rsidR="0026691D" w:rsidRPr="00E66DE1">
        <w:rPr>
          <w:rFonts w:cs="Times New Roman"/>
          <w:szCs w:val="20"/>
        </w:rPr>
        <w:t xml:space="preserve"> er</w:t>
      </w:r>
      <w:r w:rsidR="00457D2F">
        <w:rPr>
          <w:rFonts w:cs="Times New Roman"/>
          <w:szCs w:val="20"/>
        </w:rPr>
        <w:t xml:space="preserve"> dan ook </w:t>
      </w:r>
      <w:r w:rsidR="0026691D" w:rsidRPr="00E66DE1">
        <w:rPr>
          <w:rFonts w:cs="Times New Roman"/>
          <w:szCs w:val="20"/>
        </w:rPr>
        <w:t>voor om verder te gaan.</w:t>
      </w:r>
      <w:r w:rsidR="00A5065A">
        <w:rPr>
          <w:rFonts w:cs="Times New Roman"/>
          <w:szCs w:val="20"/>
        </w:rPr>
        <w:t xml:space="preserve"> Het in deze commentaar behandelde</w:t>
      </w:r>
      <w:r w:rsidR="00CC3512">
        <w:rPr>
          <w:rFonts w:cs="Times New Roman"/>
          <w:szCs w:val="20"/>
        </w:rPr>
        <w:t xml:space="preserve"> artikel</w:t>
      </w:r>
      <w:r w:rsidR="00A5065A">
        <w:rPr>
          <w:rFonts w:cs="Times New Roman"/>
          <w:szCs w:val="20"/>
        </w:rPr>
        <w:t xml:space="preserve"> </w:t>
      </w:r>
      <w:r w:rsidR="00CC3512">
        <w:rPr>
          <w:rFonts w:cs="Times New Roman"/>
          <w:szCs w:val="20"/>
        </w:rPr>
        <w:t>30</w:t>
      </w:r>
      <w:r w:rsidR="00CC3512">
        <w:rPr>
          <w:rFonts w:cs="Times New Roman"/>
          <w:i/>
          <w:szCs w:val="20"/>
        </w:rPr>
        <w:t>bis</w:t>
      </w:r>
      <w:r w:rsidR="00CC3512">
        <w:rPr>
          <w:rFonts w:cs="Times New Roman"/>
          <w:szCs w:val="20"/>
        </w:rPr>
        <w:t xml:space="preserve"> WFT</w:t>
      </w:r>
      <w:r w:rsidR="0026691D" w:rsidRPr="00E66DE1">
        <w:rPr>
          <w:rFonts w:cs="Times New Roman"/>
          <w:szCs w:val="20"/>
        </w:rPr>
        <w:t xml:space="preserve"> </w:t>
      </w:r>
      <w:r w:rsidR="00CC3512">
        <w:rPr>
          <w:rFonts w:cs="Times New Roman"/>
          <w:szCs w:val="20"/>
        </w:rPr>
        <w:t>is daarvan de opvolger.</w:t>
      </w:r>
      <w:r w:rsidR="0026691D" w:rsidRPr="00E66DE1">
        <w:rPr>
          <w:rFonts w:cs="Times New Roman"/>
          <w:szCs w:val="20"/>
        </w:rPr>
        <w:t xml:space="preserve"> </w:t>
      </w:r>
      <w:r w:rsidR="00CC3512">
        <w:rPr>
          <w:rFonts w:cs="Times New Roman"/>
          <w:szCs w:val="20"/>
        </w:rPr>
        <w:t xml:space="preserve">Het wetsartikel </w:t>
      </w:r>
      <w:r w:rsidR="0026691D" w:rsidRPr="00E66DE1">
        <w:rPr>
          <w:rFonts w:cs="Times New Roman"/>
          <w:szCs w:val="20"/>
        </w:rPr>
        <w:t xml:space="preserve">voorziet in drie mogelijkheden voor de Autoriteit voor Financiële Diensten en Markten (FSMA), de Belgische financiële toezichthouder, om in te grijpen op de Belgische markt van financiële producten. Ten eerste kan </w:t>
      </w:r>
      <w:r w:rsidR="00036DA6">
        <w:rPr>
          <w:rFonts w:cs="Times New Roman"/>
          <w:szCs w:val="20"/>
        </w:rPr>
        <w:t>ze</w:t>
      </w:r>
      <w:r w:rsidR="0026691D" w:rsidRPr="00E66DE1">
        <w:rPr>
          <w:rFonts w:cs="Times New Roman"/>
          <w:szCs w:val="20"/>
        </w:rPr>
        <w:t xml:space="preserve"> een verbod dan wel beperkende voorwaarden opleggen op de commercialisering of bepaalde vormen van commercialisering aan niet-professionele cliënten van financiële producten of van bepaalde categorieën van financiële producten. Dit</w:t>
      </w:r>
      <w:r w:rsidR="003D318C">
        <w:rPr>
          <w:rFonts w:cs="Times New Roman"/>
          <w:szCs w:val="20"/>
        </w:rPr>
        <w:t xml:space="preserve"> is kortweg een bevoegdheid om tot een zogenaamde productinterventie over te gaan</w:t>
      </w:r>
      <w:r w:rsidR="00996379">
        <w:rPr>
          <w:rFonts w:cs="Times New Roman"/>
          <w:szCs w:val="20"/>
        </w:rPr>
        <w:t xml:space="preserve">. </w:t>
      </w:r>
      <w:r w:rsidR="0026691D" w:rsidRPr="00E66DE1">
        <w:rPr>
          <w:rFonts w:cs="Times New Roman"/>
          <w:szCs w:val="20"/>
        </w:rPr>
        <w:t xml:space="preserve">Ten tweede kan </w:t>
      </w:r>
      <w:r w:rsidR="00036DA6">
        <w:rPr>
          <w:rFonts w:cs="Times New Roman"/>
          <w:szCs w:val="20"/>
        </w:rPr>
        <w:t>de FSMA</w:t>
      </w:r>
      <w:r w:rsidR="0026691D" w:rsidRPr="00E66DE1">
        <w:rPr>
          <w:rFonts w:cs="Times New Roman"/>
          <w:szCs w:val="20"/>
        </w:rPr>
        <w:t xml:space="preserve"> via de verplichte vermelding van een label of anderszins, de transparantie bevorderen van dergelijke producten, van bepaalde categorieën van dergelijke producten of van de risico's, prijze</w:t>
      </w:r>
      <w:r w:rsidR="003D318C">
        <w:rPr>
          <w:rFonts w:cs="Times New Roman"/>
          <w:szCs w:val="20"/>
        </w:rPr>
        <w:t>n, vergoedingen en kosten ervan.</w:t>
      </w:r>
      <w:r w:rsidR="0026691D" w:rsidRPr="00E66DE1">
        <w:rPr>
          <w:rFonts w:cs="Times New Roman"/>
          <w:szCs w:val="20"/>
        </w:rPr>
        <w:t xml:space="preserve"> Als derde en laatste mogelijkheid kan de FSMA een referentie-vragenlijst aanbevelen voor het bepalen van het beleggersprofiel voor afnemers van finan</w:t>
      </w:r>
      <w:r w:rsidR="0007006A">
        <w:rPr>
          <w:rFonts w:cs="Times New Roman"/>
          <w:szCs w:val="20"/>
        </w:rPr>
        <w:softHyphen/>
      </w:r>
      <w:r w:rsidR="0026691D" w:rsidRPr="00E66DE1">
        <w:rPr>
          <w:rFonts w:cs="Times New Roman"/>
          <w:szCs w:val="20"/>
        </w:rPr>
        <w:t xml:space="preserve">ciële producten. Deze commentaar </w:t>
      </w:r>
      <w:r w:rsidR="00275AC5">
        <w:rPr>
          <w:rFonts w:cs="Times New Roman"/>
          <w:szCs w:val="20"/>
        </w:rPr>
        <w:t>staat stil</w:t>
      </w:r>
      <w:r w:rsidR="0026691D" w:rsidRPr="00E66DE1">
        <w:rPr>
          <w:rFonts w:cs="Times New Roman"/>
          <w:szCs w:val="20"/>
        </w:rPr>
        <w:t xml:space="preserve"> bij de gemeenschappelijke aspecten</w:t>
      </w:r>
      <w:r w:rsidR="00E66DE1" w:rsidRPr="00E66DE1">
        <w:rPr>
          <w:rFonts w:cs="Times New Roman"/>
          <w:szCs w:val="20"/>
        </w:rPr>
        <w:t xml:space="preserve"> van deze drie bevoegdheden, </w:t>
      </w:r>
      <w:r w:rsidR="00036DA6">
        <w:rPr>
          <w:rFonts w:cs="Times New Roman"/>
          <w:szCs w:val="20"/>
        </w:rPr>
        <w:t xml:space="preserve">de </w:t>
      </w:r>
      <w:r w:rsidR="00E66DE1" w:rsidRPr="00E66DE1">
        <w:rPr>
          <w:rFonts w:cs="Times New Roman"/>
          <w:szCs w:val="20"/>
        </w:rPr>
        <w:t xml:space="preserve">juridisch-technische </w:t>
      </w:r>
      <w:r w:rsidR="003D318C">
        <w:rPr>
          <w:rFonts w:cs="Times New Roman"/>
          <w:szCs w:val="20"/>
        </w:rPr>
        <w:t>bijzonderheden</w:t>
      </w:r>
      <w:r w:rsidR="00E66DE1" w:rsidRPr="00E66DE1">
        <w:rPr>
          <w:rFonts w:cs="Times New Roman"/>
          <w:szCs w:val="20"/>
        </w:rPr>
        <w:t xml:space="preserve"> en tot slot de verhouding m</w:t>
      </w:r>
      <w:r w:rsidR="00F00EBE">
        <w:rPr>
          <w:rFonts w:cs="Times New Roman"/>
          <w:szCs w:val="20"/>
        </w:rPr>
        <w:t>et de</w:t>
      </w:r>
      <w:r w:rsidR="003D318C">
        <w:rPr>
          <w:rFonts w:cs="Times New Roman"/>
          <w:szCs w:val="20"/>
        </w:rPr>
        <w:t xml:space="preserve"> recente</w:t>
      </w:r>
      <w:r w:rsidR="00F00EBE">
        <w:rPr>
          <w:rFonts w:cs="Times New Roman"/>
          <w:szCs w:val="20"/>
        </w:rPr>
        <w:t xml:space="preserve"> Europeesrechtelijke regimes.</w:t>
      </w:r>
      <w:r w:rsidR="00F57C6E">
        <w:rPr>
          <w:rFonts w:cs="Times New Roman"/>
          <w:szCs w:val="20"/>
        </w:rPr>
        <w:t xml:space="preserve"> </w:t>
      </w:r>
      <w:r w:rsidR="006C35AB">
        <w:rPr>
          <w:rFonts w:cs="Times New Roman"/>
          <w:szCs w:val="20"/>
        </w:rPr>
        <w:t>Sinds</w:t>
      </w:r>
      <w:r w:rsidR="00F57C6E">
        <w:rPr>
          <w:rFonts w:cs="Times New Roman"/>
          <w:szCs w:val="20"/>
        </w:rPr>
        <w:t xml:space="preserve"> de inwerkingtreding van de </w:t>
      </w:r>
      <w:r w:rsidR="00CC3512">
        <w:rPr>
          <w:rFonts w:cs="Times New Roman"/>
          <w:szCs w:val="20"/>
        </w:rPr>
        <w:t>MiFIR</w:t>
      </w:r>
      <w:r w:rsidR="00F57C6E">
        <w:rPr>
          <w:rStyle w:val="Voetnootmarkering"/>
          <w:rFonts w:cs="Times New Roman"/>
          <w:szCs w:val="20"/>
        </w:rPr>
        <w:footnoteReference w:id="4"/>
      </w:r>
      <w:r w:rsidR="00F57C6E">
        <w:rPr>
          <w:rFonts w:cs="Times New Roman"/>
          <w:szCs w:val="20"/>
        </w:rPr>
        <w:t xml:space="preserve">- </w:t>
      </w:r>
      <w:r w:rsidR="00CC3512">
        <w:rPr>
          <w:rFonts w:cs="Times New Roman"/>
          <w:szCs w:val="20"/>
        </w:rPr>
        <w:t>en PRIIPS</w:t>
      </w:r>
      <w:r w:rsidR="00F57C6E">
        <w:rPr>
          <w:rStyle w:val="Voetnootmarkering"/>
          <w:rFonts w:cs="Times New Roman"/>
          <w:szCs w:val="20"/>
        </w:rPr>
        <w:footnoteReference w:id="5"/>
      </w:r>
      <w:r w:rsidR="00F57C6E">
        <w:rPr>
          <w:rFonts w:cs="Times New Roman"/>
          <w:szCs w:val="20"/>
        </w:rPr>
        <w:t>-verordeningen</w:t>
      </w:r>
      <w:r w:rsidR="00CC3512">
        <w:rPr>
          <w:rFonts w:cs="Times New Roman"/>
          <w:szCs w:val="20"/>
        </w:rPr>
        <w:t xml:space="preserve"> in 2018 </w:t>
      </w:r>
      <w:r w:rsidR="006C35AB">
        <w:rPr>
          <w:rFonts w:cs="Times New Roman"/>
          <w:szCs w:val="20"/>
        </w:rPr>
        <w:t xml:space="preserve">bestaan </w:t>
      </w:r>
      <w:r w:rsidR="00CC3512">
        <w:rPr>
          <w:rFonts w:cs="Times New Roman"/>
          <w:szCs w:val="20"/>
        </w:rPr>
        <w:t xml:space="preserve">op </w:t>
      </w:r>
      <w:r w:rsidR="00F57C6E">
        <w:rPr>
          <w:rFonts w:cs="Times New Roman"/>
          <w:szCs w:val="20"/>
        </w:rPr>
        <w:t xml:space="preserve">het </w:t>
      </w:r>
      <w:r w:rsidR="00CC3512">
        <w:rPr>
          <w:rFonts w:cs="Times New Roman"/>
          <w:szCs w:val="20"/>
        </w:rPr>
        <w:t>Europes</w:t>
      </w:r>
      <w:r w:rsidR="00F57C6E">
        <w:rPr>
          <w:rFonts w:cs="Times New Roman"/>
          <w:szCs w:val="20"/>
        </w:rPr>
        <w:t>e</w:t>
      </w:r>
      <w:r w:rsidR="00CC3512">
        <w:rPr>
          <w:rFonts w:cs="Times New Roman"/>
          <w:szCs w:val="20"/>
        </w:rPr>
        <w:t xml:space="preserve"> wetgevend</w:t>
      </w:r>
      <w:r w:rsidR="00F57C6E">
        <w:rPr>
          <w:rFonts w:cs="Times New Roman"/>
          <w:szCs w:val="20"/>
        </w:rPr>
        <w:t>e</w:t>
      </w:r>
      <w:r w:rsidR="00CC3512">
        <w:rPr>
          <w:rFonts w:cs="Times New Roman"/>
          <w:szCs w:val="20"/>
        </w:rPr>
        <w:t xml:space="preserve"> ni</w:t>
      </w:r>
      <w:r w:rsidR="0007006A">
        <w:rPr>
          <w:rFonts w:cs="Times New Roman"/>
          <w:szCs w:val="20"/>
        </w:rPr>
        <w:softHyphen/>
      </w:r>
      <w:r w:rsidR="00CC3512">
        <w:rPr>
          <w:rFonts w:cs="Times New Roman"/>
          <w:szCs w:val="20"/>
        </w:rPr>
        <w:t xml:space="preserve">veau </w:t>
      </w:r>
      <w:r w:rsidR="006C35AB">
        <w:rPr>
          <w:rFonts w:cs="Times New Roman"/>
          <w:szCs w:val="20"/>
        </w:rPr>
        <w:t>immers</w:t>
      </w:r>
      <w:r w:rsidR="00CC3512">
        <w:rPr>
          <w:rFonts w:cs="Times New Roman"/>
          <w:szCs w:val="20"/>
        </w:rPr>
        <w:t xml:space="preserve"> gelijkaardige bevoegdheden, </w:t>
      </w:r>
      <w:r w:rsidR="00275AC5">
        <w:rPr>
          <w:rFonts w:cs="Times New Roman"/>
          <w:szCs w:val="20"/>
        </w:rPr>
        <w:t xml:space="preserve">waardoor vragen rijzen </w:t>
      </w:r>
      <w:r w:rsidR="00736CA6">
        <w:rPr>
          <w:rFonts w:cs="Times New Roman"/>
          <w:szCs w:val="20"/>
        </w:rPr>
        <w:t>over</w:t>
      </w:r>
      <w:r w:rsidR="00CC3512">
        <w:rPr>
          <w:rFonts w:cs="Times New Roman"/>
          <w:szCs w:val="20"/>
        </w:rPr>
        <w:t xml:space="preserve"> de</w:t>
      </w:r>
      <w:r w:rsidR="00275AC5">
        <w:rPr>
          <w:rFonts w:cs="Times New Roman"/>
          <w:szCs w:val="20"/>
        </w:rPr>
        <w:t xml:space="preserve"> resterende</w:t>
      </w:r>
      <w:r w:rsidR="00CC3512">
        <w:rPr>
          <w:rFonts w:cs="Times New Roman"/>
          <w:szCs w:val="20"/>
        </w:rPr>
        <w:t xml:space="preserve"> reikwijdte van het becom</w:t>
      </w:r>
      <w:r w:rsidR="0007006A">
        <w:rPr>
          <w:rFonts w:cs="Times New Roman"/>
          <w:szCs w:val="20"/>
        </w:rPr>
        <w:softHyphen/>
      </w:r>
      <w:r w:rsidR="00CC3512">
        <w:rPr>
          <w:rFonts w:cs="Times New Roman"/>
          <w:szCs w:val="20"/>
        </w:rPr>
        <w:t>mentarieerde artikel 30</w:t>
      </w:r>
      <w:r w:rsidR="00CC3512" w:rsidRPr="00CC3512">
        <w:rPr>
          <w:rFonts w:cs="Times New Roman"/>
          <w:i/>
          <w:szCs w:val="20"/>
        </w:rPr>
        <w:t>bis</w:t>
      </w:r>
      <w:r w:rsidR="00CC3512">
        <w:rPr>
          <w:rFonts w:cs="Times New Roman"/>
          <w:szCs w:val="20"/>
        </w:rPr>
        <w:t xml:space="preserve"> WFT.</w:t>
      </w:r>
    </w:p>
    <w:p w:rsidR="00E74ADA" w:rsidRDefault="00E74ADA" w:rsidP="00253E6B">
      <w:pPr>
        <w:spacing w:line="276" w:lineRule="auto"/>
        <w:rPr>
          <w:rFonts w:cs="Times New Roman"/>
          <w:b/>
          <w:szCs w:val="20"/>
        </w:rPr>
      </w:pPr>
      <w:r w:rsidRPr="00222244">
        <w:rPr>
          <w:rFonts w:cs="Times New Roman"/>
          <w:b/>
          <w:szCs w:val="20"/>
        </w:rPr>
        <w:t xml:space="preserve">II. </w:t>
      </w:r>
      <w:r w:rsidR="00A14B5C">
        <w:rPr>
          <w:rFonts w:cs="Times New Roman"/>
          <w:b/>
          <w:szCs w:val="20"/>
        </w:rPr>
        <w:t>Gemeenschappelijke</w:t>
      </w:r>
      <w:r w:rsidR="003F1BA9">
        <w:rPr>
          <w:rFonts w:cs="Times New Roman"/>
          <w:b/>
          <w:szCs w:val="20"/>
        </w:rPr>
        <w:t xml:space="preserve"> aspecten</w:t>
      </w:r>
    </w:p>
    <w:p w:rsidR="00A3180B" w:rsidRPr="00A3180B" w:rsidRDefault="00A3180B" w:rsidP="00253E6B">
      <w:pPr>
        <w:pStyle w:val="Lijstalinea"/>
        <w:numPr>
          <w:ilvl w:val="0"/>
          <w:numId w:val="3"/>
        </w:numPr>
        <w:spacing w:line="276" w:lineRule="auto"/>
        <w:rPr>
          <w:rFonts w:cs="Times New Roman"/>
          <w:szCs w:val="20"/>
        </w:rPr>
      </w:pPr>
      <w:r w:rsidRPr="00A3180B">
        <w:rPr>
          <w:rFonts w:cs="Times New Roman"/>
          <w:i/>
          <w:szCs w:val="20"/>
        </w:rPr>
        <w:t>Toelichting</w:t>
      </w:r>
      <w:r>
        <w:rPr>
          <w:rFonts w:cs="Times New Roman"/>
          <w:szCs w:val="20"/>
        </w:rPr>
        <w:t xml:space="preserve"> </w:t>
      </w:r>
      <w:r w:rsidRPr="00485497">
        <w:rPr>
          <w:rFonts w:cs="Times New Roman"/>
          <w:szCs w:val="20"/>
        </w:rPr>
        <w:t>‒</w:t>
      </w:r>
      <w:r>
        <w:rPr>
          <w:rFonts w:cs="Times New Roman"/>
          <w:szCs w:val="20"/>
        </w:rPr>
        <w:t xml:space="preserve"> Vooraleer de</w:t>
      </w:r>
      <w:r w:rsidR="00FB4038">
        <w:rPr>
          <w:rFonts w:cs="Times New Roman"/>
          <w:szCs w:val="20"/>
        </w:rPr>
        <w:t>ze</w:t>
      </w:r>
      <w:r>
        <w:rPr>
          <w:rFonts w:cs="Times New Roman"/>
          <w:szCs w:val="20"/>
        </w:rPr>
        <w:t xml:space="preserve"> </w:t>
      </w:r>
      <w:r w:rsidR="00FB4038">
        <w:rPr>
          <w:rFonts w:cs="Times New Roman"/>
          <w:szCs w:val="20"/>
        </w:rPr>
        <w:t xml:space="preserve">commentaar de </w:t>
      </w:r>
      <w:r>
        <w:rPr>
          <w:rFonts w:cs="Times New Roman"/>
          <w:szCs w:val="20"/>
        </w:rPr>
        <w:t>drie bevoegdheden van artikel 30</w:t>
      </w:r>
      <w:r w:rsidRPr="00FB4038">
        <w:rPr>
          <w:rFonts w:cs="Times New Roman"/>
          <w:i/>
          <w:szCs w:val="20"/>
        </w:rPr>
        <w:t>bis</w:t>
      </w:r>
      <w:r>
        <w:rPr>
          <w:rFonts w:cs="Times New Roman"/>
          <w:szCs w:val="20"/>
        </w:rPr>
        <w:t xml:space="preserve"> WFT </w:t>
      </w:r>
      <w:r w:rsidR="006657F8">
        <w:rPr>
          <w:rFonts w:cs="Times New Roman"/>
          <w:szCs w:val="20"/>
        </w:rPr>
        <w:t>bespreekt</w:t>
      </w:r>
      <w:r>
        <w:rPr>
          <w:rFonts w:cs="Times New Roman"/>
          <w:szCs w:val="20"/>
        </w:rPr>
        <w:t xml:space="preserve">, </w:t>
      </w:r>
      <w:r w:rsidR="006657F8">
        <w:rPr>
          <w:rFonts w:cs="Times New Roman"/>
          <w:szCs w:val="20"/>
        </w:rPr>
        <w:t>komen</w:t>
      </w:r>
      <w:r w:rsidR="00FB4038">
        <w:rPr>
          <w:rFonts w:cs="Times New Roman"/>
          <w:szCs w:val="20"/>
        </w:rPr>
        <w:t xml:space="preserve"> de aspecten aan bod die </w:t>
      </w:r>
      <w:r w:rsidR="004D2E58">
        <w:rPr>
          <w:rFonts w:cs="Times New Roman"/>
          <w:szCs w:val="20"/>
        </w:rPr>
        <w:t>ze</w:t>
      </w:r>
      <w:r w:rsidR="00FB4038">
        <w:rPr>
          <w:rFonts w:cs="Times New Roman"/>
          <w:szCs w:val="20"/>
        </w:rPr>
        <w:t xml:space="preserve"> gemeenschappelijk hebben. Dit is van belang om </w:t>
      </w:r>
      <w:r w:rsidR="00FD6AA6">
        <w:rPr>
          <w:rFonts w:cs="Times New Roman"/>
          <w:szCs w:val="20"/>
        </w:rPr>
        <w:t>daarna</w:t>
      </w:r>
      <w:r w:rsidR="00FB4038">
        <w:rPr>
          <w:rFonts w:cs="Times New Roman"/>
          <w:szCs w:val="20"/>
        </w:rPr>
        <w:t xml:space="preserve"> de bijzonderheden van elke bevoegdheid nauwkeurig te kunnen duiden.</w:t>
      </w:r>
    </w:p>
    <w:p w:rsidR="006B0A08" w:rsidRPr="00485497" w:rsidRDefault="00302E89" w:rsidP="00253E6B">
      <w:pPr>
        <w:pStyle w:val="Lijstalinea"/>
        <w:numPr>
          <w:ilvl w:val="0"/>
          <w:numId w:val="3"/>
        </w:numPr>
        <w:spacing w:line="276" w:lineRule="auto"/>
        <w:rPr>
          <w:rFonts w:cs="Times New Roman"/>
          <w:szCs w:val="20"/>
        </w:rPr>
      </w:pPr>
      <w:r w:rsidRPr="00485497">
        <w:rPr>
          <w:rFonts w:cs="Times New Roman"/>
          <w:i/>
          <w:szCs w:val="20"/>
        </w:rPr>
        <w:t>Procedurele voorwaarden</w:t>
      </w:r>
      <w:r w:rsidRPr="00485497">
        <w:rPr>
          <w:rFonts w:cs="Times New Roman"/>
          <w:szCs w:val="20"/>
        </w:rPr>
        <w:t xml:space="preserve"> ‒ </w:t>
      </w:r>
      <w:r w:rsidR="00A14B5C" w:rsidRPr="00485497">
        <w:rPr>
          <w:rFonts w:cs="Times New Roman"/>
          <w:szCs w:val="20"/>
        </w:rPr>
        <w:t xml:space="preserve">Een </w:t>
      </w:r>
      <w:r w:rsidR="00DA63E4">
        <w:rPr>
          <w:rFonts w:cs="Times New Roman"/>
          <w:szCs w:val="20"/>
        </w:rPr>
        <w:t>eerste</w:t>
      </w:r>
      <w:r w:rsidR="00A14B5C" w:rsidRPr="00485497">
        <w:rPr>
          <w:rFonts w:cs="Times New Roman"/>
          <w:szCs w:val="20"/>
        </w:rPr>
        <w:t xml:space="preserve"> aspect</w:t>
      </w:r>
      <w:r w:rsidR="001F6C92" w:rsidRPr="00485497">
        <w:rPr>
          <w:rFonts w:cs="Times New Roman"/>
          <w:szCs w:val="20"/>
        </w:rPr>
        <w:t xml:space="preserve"> heeft betrekking op de</w:t>
      </w:r>
      <w:r w:rsidR="00E413DF">
        <w:rPr>
          <w:rFonts w:cs="Times New Roman"/>
          <w:szCs w:val="20"/>
        </w:rPr>
        <w:t xml:space="preserve"> te volgen</w:t>
      </w:r>
      <w:r w:rsidR="001F6C92" w:rsidRPr="00485497">
        <w:rPr>
          <w:rFonts w:cs="Times New Roman"/>
          <w:szCs w:val="20"/>
        </w:rPr>
        <w:t xml:space="preserve"> procedure.</w:t>
      </w:r>
      <w:r w:rsidR="00832B3E" w:rsidRPr="00485497">
        <w:rPr>
          <w:rFonts w:cs="Times New Roman"/>
          <w:szCs w:val="20"/>
        </w:rPr>
        <w:t xml:space="preserve"> </w:t>
      </w:r>
      <w:r w:rsidR="00C636BB" w:rsidRPr="00485497">
        <w:rPr>
          <w:rFonts w:cs="Times New Roman"/>
          <w:szCs w:val="20"/>
        </w:rPr>
        <w:t xml:space="preserve">Er moet </w:t>
      </w:r>
      <w:r w:rsidR="001E1AB0">
        <w:rPr>
          <w:rFonts w:cs="Times New Roman"/>
          <w:szCs w:val="20"/>
        </w:rPr>
        <w:t>namelijk</w:t>
      </w:r>
      <w:r w:rsidR="00E413DF">
        <w:rPr>
          <w:rFonts w:cs="Times New Roman"/>
          <w:szCs w:val="20"/>
        </w:rPr>
        <w:t xml:space="preserve"> </w:t>
      </w:r>
      <w:r w:rsidR="00C636BB" w:rsidRPr="00485497">
        <w:rPr>
          <w:rFonts w:cs="Times New Roman"/>
          <w:szCs w:val="20"/>
        </w:rPr>
        <w:t xml:space="preserve">minstens een maand op voorhand een </w:t>
      </w:r>
      <w:r w:rsidR="00AD71BD">
        <w:rPr>
          <w:rFonts w:cs="Times New Roman"/>
          <w:szCs w:val="20"/>
        </w:rPr>
        <w:t xml:space="preserve">verzoek tot advies zijn </w:t>
      </w:r>
      <w:r w:rsidR="00A9357C">
        <w:rPr>
          <w:rFonts w:cs="Times New Roman"/>
          <w:szCs w:val="20"/>
        </w:rPr>
        <w:t>ingediend</w:t>
      </w:r>
      <w:r w:rsidR="00C636BB" w:rsidRPr="00485497">
        <w:rPr>
          <w:rFonts w:cs="Times New Roman"/>
          <w:szCs w:val="20"/>
        </w:rPr>
        <w:t xml:space="preserve"> bij de bijzondere raadgevende commissie </w:t>
      </w:r>
      <w:r w:rsidR="00F00EBE" w:rsidRPr="00485497">
        <w:rPr>
          <w:rFonts w:cs="Times New Roman"/>
          <w:szCs w:val="20"/>
        </w:rPr>
        <w:t>V</w:t>
      </w:r>
      <w:r w:rsidR="00C636BB" w:rsidRPr="00485497">
        <w:rPr>
          <w:rFonts w:cs="Times New Roman"/>
          <w:szCs w:val="20"/>
        </w:rPr>
        <w:t>erbruik</w:t>
      </w:r>
      <w:r w:rsidR="001D7CA8" w:rsidRPr="00485497">
        <w:rPr>
          <w:rFonts w:cs="Times New Roman"/>
          <w:szCs w:val="20"/>
        </w:rPr>
        <w:t xml:space="preserve"> (de vroegere Raad voor het Verbruik</w:t>
      </w:r>
      <w:r w:rsidR="001D7CA8">
        <w:rPr>
          <w:rStyle w:val="Voetnootmarkering"/>
          <w:rFonts w:cs="Times New Roman"/>
          <w:szCs w:val="20"/>
        </w:rPr>
        <w:footnoteReference w:id="6"/>
      </w:r>
      <w:r w:rsidR="001D7CA8" w:rsidRPr="00485497">
        <w:rPr>
          <w:rFonts w:cs="Times New Roman"/>
          <w:szCs w:val="20"/>
        </w:rPr>
        <w:t>) en</w:t>
      </w:r>
      <w:r w:rsidR="00F00EBE" w:rsidRPr="00485497">
        <w:rPr>
          <w:rFonts w:cs="Times New Roman"/>
          <w:szCs w:val="20"/>
        </w:rPr>
        <w:t xml:space="preserve"> een advies zijn van de r</w:t>
      </w:r>
      <w:r w:rsidR="006B0A08" w:rsidRPr="00485497">
        <w:rPr>
          <w:rFonts w:cs="Times New Roman"/>
          <w:szCs w:val="20"/>
        </w:rPr>
        <w:t>aad van toezicht</w:t>
      </w:r>
      <w:r w:rsidR="00485497">
        <w:rPr>
          <w:rStyle w:val="Voetnootmarkering"/>
          <w:rFonts w:cs="Times New Roman"/>
          <w:szCs w:val="20"/>
        </w:rPr>
        <w:footnoteReference w:id="7"/>
      </w:r>
      <w:r w:rsidR="006B0A08" w:rsidRPr="00485497">
        <w:rPr>
          <w:rFonts w:cs="Times New Roman"/>
          <w:szCs w:val="20"/>
        </w:rPr>
        <w:t xml:space="preserve"> binnen de FSMA</w:t>
      </w:r>
      <w:r w:rsidR="00AA4F06" w:rsidRPr="00485497">
        <w:rPr>
          <w:rFonts w:cs="Times New Roman"/>
          <w:szCs w:val="20"/>
        </w:rPr>
        <w:t>.</w:t>
      </w:r>
      <w:r w:rsidR="005F2C7D" w:rsidRPr="00485497">
        <w:rPr>
          <w:rFonts w:cs="Times New Roman"/>
          <w:szCs w:val="20"/>
        </w:rPr>
        <w:t xml:space="preserve"> </w:t>
      </w:r>
      <w:r w:rsidR="00FB4038">
        <w:rPr>
          <w:rFonts w:cs="Times New Roman"/>
          <w:szCs w:val="20"/>
        </w:rPr>
        <w:t>H</w:t>
      </w:r>
      <w:r w:rsidR="007B0548" w:rsidRPr="00485497">
        <w:rPr>
          <w:rFonts w:cs="Times New Roman"/>
          <w:szCs w:val="20"/>
        </w:rPr>
        <w:t>et directiecomité van de FSMA</w:t>
      </w:r>
      <w:r w:rsidR="00FB4038">
        <w:rPr>
          <w:rFonts w:cs="Times New Roman"/>
          <w:szCs w:val="20"/>
        </w:rPr>
        <w:t xml:space="preserve"> neemt nadien de beslissing om een reglement uit te vaardigen</w:t>
      </w:r>
      <w:r w:rsidR="007B0548" w:rsidRPr="00485497">
        <w:rPr>
          <w:rFonts w:cs="Times New Roman"/>
          <w:szCs w:val="20"/>
        </w:rPr>
        <w:t xml:space="preserve">. </w:t>
      </w:r>
      <w:r w:rsidR="00A9357C">
        <w:rPr>
          <w:rFonts w:cs="Times New Roman"/>
          <w:szCs w:val="20"/>
        </w:rPr>
        <w:t>Ze</w:t>
      </w:r>
      <w:r w:rsidR="00736CA6">
        <w:rPr>
          <w:rFonts w:cs="Times New Roman"/>
          <w:bCs/>
          <w:szCs w:val="20"/>
        </w:rPr>
        <w:t xml:space="preserve"> kan daarbij</w:t>
      </w:r>
      <w:r w:rsidR="00736CA6" w:rsidRPr="00485497">
        <w:rPr>
          <w:rFonts w:cs="Times New Roman"/>
          <w:bCs/>
          <w:szCs w:val="20"/>
        </w:rPr>
        <w:t xml:space="preserve"> in omzendbrieven, aanbevelingen of gedragsregels alle maatregelen ter verduidelijking van de toepassing van de wetteli</w:t>
      </w:r>
      <w:r w:rsidR="00736CA6">
        <w:rPr>
          <w:rFonts w:cs="Times New Roman"/>
          <w:bCs/>
          <w:szCs w:val="20"/>
        </w:rPr>
        <w:t xml:space="preserve">jke of reglementaire bepalingen meegeven </w:t>
      </w:r>
      <w:r w:rsidR="00736CA6" w:rsidRPr="00485497">
        <w:rPr>
          <w:rFonts w:cs="Times New Roman"/>
          <w:bCs/>
          <w:szCs w:val="20"/>
        </w:rPr>
        <w:t>waarvan de FSMA de toepassing controleert.</w:t>
      </w:r>
      <w:r w:rsidR="00736CA6">
        <w:rPr>
          <w:rStyle w:val="Voetnootmarkering"/>
          <w:rFonts w:cs="Times New Roman"/>
          <w:bCs/>
          <w:szCs w:val="20"/>
        </w:rPr>
        <w:footnoteReference w:id="8"/>
      </w:r>
      <w:r w:rsidR="00736CA6">
        <w:rPr>
          <w:rFonts w:cs="Times New Roman"/>
          <w:bCs/>
          <w:szCs w:val="20"/>
        </w:rPr>
        <w:t xml:space="preserve"> </w:t>
      </w:r>
      <w:r w:rsidR="00485497" w:rsidRPr="00485497">
        <w:rPr>
          <w:rFonts w:cs="Times New Roman"/>
          <w:szCs w:val="20"/>
        </w:rPr>
        <w:t>Art</w:t>
      </w:r>
      <w:r w:rsidR="00E413DF">
        <w:rPr>
          <w:rFonts w:cs="Times New Roman"/>
          <w:szCs w:val="20"/>
        </w:rPr>
        <w:t>ikel</w:t>
      </w:r>
      <w:r w:rsidR="00485497" w:rsidRPr="00485497">
        <w:rPr>
          <w:rFonts w:cs="Times New Roman"/>
          <w:szCs w:val="20"/>
        </w:rPr>
        <w:t xml:space="preserve"> 30</w:t>
      </w:r>
      <w:r w:rsidR="00485497" w:rsidRPr="00DA63E4">
        <w:rPr>
          <w:rFonts w:cs="Times New Roman"/>
          <w:i/>
          <w:szCs w:val="20"/>
        </w:rPr>
        <w:t>bis</w:t>
      </w:r>
      <w:r w:rsidR="00485497" w:rsidRPr="00485497">
        <w:rPr>
          <w:rFonts w:cs="Times New Roman"/>
          <w:szCs w:val="20"/>
        </w:rPr>
        <w:t xml:space="preserve">, </w:t>
      </w:r>
      <w:r w:rsidR="00FE2BE6">
        <w:rPr>
          <w:rFonts w:cs="Times New Roman"/>
          <w:szCs w:val="20"/>
        </w:rPr>
        <w:t>derde lid</w:t>
      </w:r>
      <w:r w:rsidR="00485497" w:rsidRPr="00485497">
        <w:rPr>
          <w:rFonts w:cs="Times New Roman"/>
          <w:szCs w:val="20"/>
        </w:rPr>
        <w:t xml:space="preserve"> WFT</w:t>
      </w:r>
      <w:r w:rsidR="007B0548" w:rsidRPr="00485497">
        <w:rPr>
          <w:rFonts w:cs="Times New Roman"/>
          <w:szCs w:val="20"/>
        </w:rPr>
        <w:t xml:space="preserve"> verwijst verder nog naar a</w:t>
      </w:r>
      <w:r w:rsidR="005F2C7D" w:rsidRPr="00485497">
        <w:rPr>
          <w:rFonts w:cs="Times New Roman"/>
          <w:szCs w:val="20"/>
        </w:rPr>
        <w:t>rt</w:t>
      </w:r>
      <w:r w:rsidR="00E413DF">
        <w:rPr>
          <w:rFonts w:cs="Times New Roman"/>
          <w:szCs w:val="20"/>
        </w:rPr>
        <w:t xml:space="preserve">ikel </w:t>
      </w:r>
      <w:r w:rsidR="005F2C7D" w:rsidRPr="00485497">
        <w:rPr>
          <w:rFonts w:cs="Times New Roman"/>
          <w:szCs w:val="20"/>
        </w:rPr>
        <w:t xml:space="preserve">64 </w:t>
      </w:r>
      <w:r w:rsidR="007B0548" w:rsidRPr="00485497">
        <w:rPr>
          <w:rFonts w:cs="Times New Roman"/>
          <w:szCs w:val="20"/>
        </w:rPr>
        <w:t>WFT d</w:t>
      </w:r>
      <w:r w:rsidR="00736CA6">
        <w:rPr>
          <w:rFonts w:cs="Times New Roman"/>
          <w:szCs w:val="20"/>
        </w:rPr>
        <w:t>at</w:t>
      </w:r>
      <w:r w:rsidR="007B0548" w:rsidRPr="00485497">
        <w:rPr>
          <w:rFonts w:cs="Times New Roman"/>
          <w:szCs w:val="20"/>
        </w:rPr>
        <w:t xml:space="preserve"> </w:t>
      </w:r>
      <w:r w:rsidR="00736CA6" w:rsidRPr="00485497">
        <w:rPr>
          <w:rFonts w:cs="Times New Roman"/>
          <w:szCs w:val="20"/>
        </w:rPr>
        <w:t>voorziet</w:t>
      </w:r>
      <w:r w:rsidR="00736CA6">
        <w:rPr>
          <w:rFonts w:cs="Times New Roman"/>
          <w:szCs w:val="20"/>
        </w:rPr>
        <w:t xml:space="preserve"> </w:t>
      </w:r>
      <w:r w:rsidR="001E1AB0">
        <w:rPr>
          <w:rFonts w:cs="Times New Roman"/>
          <w:szCs w:val="20"/>
        </w:rPr>
        <w:t xml:space="preserve">in </w:t>
      </w:r>
      <w:r w:rsidR="007B0548" w:rsidRPr="00485497">
        <w:rPr>
          <w:rFonts w:cs="Times New Roman"/>
          <w:szCs w:val="20"/>
        </w:rPr>
        <w:t>de mogelijkheid voor de FSMA om be</w:t>
      </w:r>
      <w:r w:rsidR="0007006A">
        <w:rPr>
          <w:rFonts w:cs="Times New Roman"/>
          <w:szCs w:val="20"/>
        </w:rPr>
        <w:softHyphen/>
      </w:r>
      <w:r w:rsidR="007B0548" w:rsidRPr="00485497">
        <w:rPr>
          <w:rFonts w:cs="Times New Roman"/>
          <w:szCs w:val="20"/>
        </w:rPr>
        <w:t>langhebbende partijen inspraak te verl</w:t>
      </w:r>
      <w:r w:rsidR="00485497">
        <w:rPr>
          <w:rFonts w:cs="Times New Roman"/>
          <w:szCs w:val="20"/>
        </w:rPr>
        <w:t xml:space="preserve">enen bij het te nemen reglement. Volgens hetzelfde artikel kunnen deze reglementen slechts gelden ter aanvulling van wettelijke of reglementaire bepalingen en is </w:t>
      </w:r>
      <w:r w:rsidR="00A9357C">
        <w:rPr>
          <w:rFonts w:cs="Times New Roman"/>
          <w:szCs w:val="20"/>
        </w:rPr>
        <w:t>een</w:t>
      </w:r>
      <w:r w:rsidR="00485497">
        <w:rPr>
          <w:rFonts w:cs="Times New Roman"/>
          <w:szCs w:val="20"/>
        </w:rPr>
        <w:t xml:space="preserve"> </w:t>
      </w:r>
      <w:r w:rsidR="00485497" w:rsidRPr="00485497">
        <w:rPr>
          <w:rFonts w:cs="Times New Roman"/>
          <w:szCs w:val="20"/>
        </w:rPr>
        <w:t xml:space="preserve">goedkeuring bij KB </w:t>
      </w:r>
      <w:r w:rsidR="00486AD1">
        <w:rPr>
          <w:rFonts w:cs="Times New Roman"/>
          <w:szCs w:val="20"/>
        </w:rPr>
        <w:lastRenderedPageBreak/>
        <w:t>met bijhorende</w:t>
      </w:r>
      <w:r w:rsidR="00485497">
        <w:rPr>
          <w:rFonts w:cs="Times New Roman"/>
          <w:szCs w:val="20"/>
        </w:rPr>
        <w:t xml:space="preserve"> bekendmaking in het Belgisch Staatsblad </w:t>
      </w:r>
      <w:r w:rsidR="00485497" w:rsidRPr="00485497">
        <w:rPr>
          <w:rFonts w:cs="Times New Roman"/>
          <w:szCs w:val="20"/>
        </w:rPr>
        <w:t>vereist.</w:t>
      </w:r>
      <w:r w:rsidR="00CF57DD">
        <w:rPr>
          <w:rFonts w:cs="Times New Roman"/>
          <w:szCs w:val="20"/>
        </w:rPr>
        <w:t xml:space="preserve"> De Koning kan deze reglementen desgevallend ook wijzigen of in de plaats van de FSMA optreden wanneer deze in gebreke blijft reglementen vast te stellen.</w:t>
      </w:r>
      <w:r w:rsidR="00CF57DD">
        <w:rPr>
          <w:rStyle w:val="Voetnootmarkering"/>
          <w:rFonts w:cs="Times New Roman"/>
          <w:szCs w:val="20"/>
        </w:rPr>
        <w:footnoteReference w:id="9"/>
      </w:r>
    </w:p>
    <w:p w:rsidR="000537DA" w:rsidRDefault="001007D6" w:rsidP="00867248">
      <w:pPr>
        <w:pStyle w:val="Lijstalinea"/>
        <w:numPr>
          <w:ilvl w:val="0"/>
          <w:numId w:val="3"/>
        </w:numPr>
        <w:spacing w:line="276" w:lineRule="auto"/>
        <w:rPr>
          <w:rFonts w:cs="Times New Roman"/>
          <w:szCs w:val="20"/>
        </w:rPr>
      </w:pPr>
      <w:bookmarkStart w:id="1" w:name="_Ref531339627"/>
      <w:r w:rsidRPr="000537DA">
        <w:rPr>
          <w:rFonts w:cs="Times New Roman"/>
          <w:i/>
          <w:szCs w:val="20"/>
        </w:rPr>
        <w:t>T</w:t>
      </w:r>
      <w:r w:rsidR="00DA63E4" w:rsidRPr="000537DA">
        <w:rPr>
          <w:rFonts w:cs="Times New Roman"/>
          <w:i/>
          <w:szCs w:val="20"/>
        </w:rPr>
        <w:t>oepassingsgebied</w:t>
      </w:r>
      <w:r w:rsidR="00DA63E4" w:rsidRPr="000537DA">
        <w:rPr>
          <w:rFonts w:cs="Times New Roman"/>
          <w:szCs w:val="20"/>
        </w:rPr>
        <w:t xml:space="preserve"> ‒ </w:t>
      </w:r>
      <w:r w:rsidR="00832B3E" w:rsidRPr="000537DA">
        <w:rPr>
          <w:rFonts w:cs="Times New Roman"/>
          <w:szCs w:val="20"/>
        </w:rPr>
        <w:t xml:space="preserve">Ten </w:t>
      </w:r>
      <w:r w:rsidR="00DA63E4" w:rsidRPr="000537DA">
        <w:rPr>
          <w:rFonts w:cs="Times New Roman"/>
          <w:szCs w:val="20"/>
        </w:rPr>
        <w:t>tweede</w:t>
      </w:r>
      <w:r w:rsidR="00832B3E" w:rsidRPr="000537DA">
        <w:rPr>
          <w:rFonts w:cs="Times New Roman"/>
          <w:szCs w:val="20"/>
        </w:rPr>
        <w:t xml:space="preserve"> moet ook het toepassingsgebied van het artikel</w:t>
      </w:r>
      <w:r w:rsidR="00A3180B">
        <w:rPr>
          <w:rFonts w:cs="Times New Roman"/>
          <w:szCs w:val="20"/>
        </w:rPr>
        <w:t xml:space="preserve"> onderzocht</w:t>
      </w:r>
      <w:r w:rsidR="00970212" w:rsidRPr="00970212">
        <w:rPr>
          <w:rFonts w:cs="Times New Roman"/>
          <w:szCs w:val="20"/>
        </w:rPr>
        <w:t xml:space="preserve"> </w:t>
      </w:r>
      <w:r w:rsidR="00970212">
        <w:rPr>
          <w:rFonts w:cs="Times New Roman"/>
          <w:szCs w:val="20"/>
        </w:rPr>
        <w:t>worden</w:t>
      </w:r>
      <w:r w:rsidR="00832B3E" w:rsidRPr="000537DA">
        <w:rPr>
          <w:rFonts w:cs="Times New Roman"/>
          <w:szCs w:val="20"/>
        </w:rPr>
        <w:t xml:space="preserve">. </w:t>
      </w:r>
      <w:r w:rsidR="00D83C90" w:rsidRPr="000537DA">
        <w:rPr>
          <w:rFonts w:cs="Times New Roman"/>
          <w:szCs w:val="20"/>
        </w:rPr>
        <w:t>De drie bevoegdheden refereren naar het begrip</w:t>
      </w:r>
      <w:r w:rsidR="00C37447" w:rsidRPr="000537DA">
        <w:rPr>
          <w:rFonts w:cs="Times New Roman"/>
          <w:szCs w:val="20"/>
        </w:rPr>
        <w:t xml:space="preserve"> ‘financiële producten’</w:t>
      </w:r>
      <w:r w:rsidR="009358A2">
        <w:rPr>
          <w:rFonts w:cs="Times New Roman"/>
          <w:szCs w:val="20"/>
        </w:rPr>
        <w:t>. A</w:t>
      </w:r>
      <w:r w:rsidR="00C37447" w:rsidRPr="000537DA">
        <w:rPr>
          <w:rFonts w:cs="Times New Roman"/>
          <w:szCs w:val="20"/>
        </w:rPr>
        <w:t>rtikel 2, 39° WFT</w:t>
      </w:r>
      <w:r w:rsidR="009358A2">
        <w:rPr>
          <w:rFonts w:cs="Times New Roman"/>
          <w:szCs w:val="20"/>
        </w:rPr>
        <w:t xml:space="preserve"> definieert dit</w:t>
      </w:r>
      <w:r w:rsidR="00C37447" w:rsidRPr="000537DA">
        <w:rPr>
          <w:rFonts w:cs="Times New Roman"/>
          <w:szCs w:val="20"/>
        </w:rPr>
        <w:t xml:space="preserve"> als “</w:t>
      </w:r>
      <w:r w:rsidR="00C37447" w:rsidRPr="000537DA">
        <w:rPr>
          <w:rFonts w:cs="Times New Roman"/>
          <w:i/>
          <w:szCs w:val="20"/>
        </w:rPr>
        <w:t>alle spaar-, beleggings- of verzekeringsproducten</w:t>
      </w:r>
      <w:r w:rsidR="00C37447" w:rsidRPr="000537DA">
        <w:rPr>
          <w:rFonts w:cs="Times New Roman"/>
          <w:szCs w:val="20"/>
        </w:rPr>
        <w:t>”.</w:t>
      </w:r>
      <w:r w:rsidR="00F00EBE" w:rsidRPr="000537DA">
        <w:rPr>
          <w:rFonts w:cs="Times New Roman"/>
          <w:szCs w:val="20"/>
        </w:rPr>
        <w:t xml:space="preserve"> Deze omschrijving </w:t>
      </w:r>
      <w:r w:rsidR="00022896" w:rsidRPr="000537DA">
        <w:rPr>
          <w:rFonts w:cs="Times New Roman"/>
          <w:szCs w:val="20"/>
        </w:rPr>
        <w:t>veronderstel</w:t>
      </w:r>
      <w:r w:rsidR="00F00EBE" w:rsidRPr="000537DA">
        <w:rPr>
          <w:rFonts w:cs="Times New Roman"/>
          <w:szCs w:val="20"/>
        </w:rPr>
        <w:t>t een bijzonder ruim materieel toepas</w:t>
      </w:r>
      <w:r w:rsidR="0007006A">
        <w:rPr>
          <w:rFonts w:cs="Times New Roman"/>
          <w:szCs w:val="20"/>
        </w:rPr>
        <w:softHyphen/>
      </w:r>
      <w:r w:rsidR="00F00EBE" w:rsidRPr="000537DA">
        <w:rPr>
          <w:rFonts w:cs="Times New Roman"/>
          <w:szCs w:val="20"/>
        </w:rPr>
        <w:t xml:space="preserve">singsgebied van het becommentarieerde </w:t>
      </w:r>
      <w:r w:rsidR="00022896" w:rsidRPr="000537DA">
        <w:rPr>
          <w:rFonts w:cs="Times New Roman"/>
          <w:szCs w:val="20"/>
        </w:rPr>
        <w:t>wets</w:t>
      </w:r>
      <w:r w:rsidR="00F00EBE" w:rsidRPr="000537DA">
        <w:rPr>
          <w:rFonts w:cs="Times New Roman"/>
          <w:szCs w:val="20"/>
        </w:rPr>
        <w:t>artikel</w:t>
      </w:r>
      <w:r w:rsidRPr="000537DA">
        <w:rPr>
          <w:rFonts w:cs="Times New Roman"/>
          <w:szCs w:val="20"/>
        </w:rPr>
        <w:t xml:space="preserve">. </w:t>
      </w:r>
      <w:r w:rsidR="00E64F47">
        <w:rPr>
          <w:rFonts w:cs="Times New Roman"/>
          <w:szCs w:val="20"/>
        </w:rPr>
        <w:t>Het is daarbij geenszins vereist dat deze producten een be</w:t>
      </w:r>
      <w:r w:rsidR="0007006A">
        <w:rPr>
          <w:rFonts w:cs="Times New Roman"/>
          <w:szCs w:val="20"/>
        </w:rPr>
        <w:softHyphen/>
      </w:r>
      <w:r w:rsidR="00E64F47">
        <w:rPr>
          <w:rFonts w:cs="Times New Roman"/>
          <w:szCs w:val="20"/>
        </w:rPr>
        <w:t>paalde mate van complexiteit vertonen.</w:t>
      </w:r>
      <w:r w:rsidR="00E64F47">
        <w:rPr>
          <w:rStyle w:val="Voetnootmarkering"/>
          <w:rFonts w:cs="Times New Roman"/>
          <w:szCs w:val="20"/>
        </w:rPr>
        <w:footnoteReference w:id="10"/>
      </w:r>
      <w:r w:rsidR="00E64F47">
        <w:rPr>
          <w:rFonts w:cs="Times New Roman"/>
          <w:szCs w:val="20"/>
        </w:rPr>
        <w:t xml:space="preserve"> </w:t>
      </w:r>
      <w:r w:rsidR="00E413DF">
        <w:rPr>
          <w:rFonts w:cs="Times New Roman"/>
          <w:szCs w:val="20"/>
        </w:rPr>
        <w:t>Wat betreft het personeel toepassingsg</w:t>
      </w:r>
      <w:r w:rsidR="00FD6AA6">
        <w:rPr>
          <w:rFonts w:cs="Times New Roman"/>
          <w:szCs w:val="20"/>
        </w:rPr>
        <w:t>ebied bestaat</w:t>
      </w:r>
      <w:r w:rsidRPr="000537DA">
        <w:rPr>
          <w:rFonts w:cs="Times New Roman"/>
          <w:szCs w:val="20"/>
        </w:rPr>
        <w:t xml:space="preserve"> geen beperking langs de kant van de aanbieders, waardoor</w:t>
      </w:r>
      <w:r w:rsidR="00970615">
        <w:rPr>
          <w:rFonts w:cs="Times New Roman"/>
          <w:szCs w:val="20"/>
        </w:rPr>
        <w:t xml:space="preserve"> de reglementen</w:t>
      </w:r>
      <w:r w:rsidRPr="000537DA">
        <w:rPr>
          <w:rFonts w:cs="Times New Roman"/>
          <w:szCs w:val="20"/>
        </w:rPr>
        <w:t xml:space="preserve"> </w:t>
      </w:r>
      <w:r w:rsidRPr="000537DA">
        <w:rPr>
          <w:rFonts w:cs="Times New Roman"/>
          <w:i/>
          <w:szCs w:val="20"/>
        </w:rPr>
        <w:t>alle</w:t>
      </w:r>
      <w:r w:rsidRPr="000537DA">
        <w:rPr>
          <w:rFonts w:cs="Times New Roman"/>
          <w:szCs w:val="20"/>
        </w:rPr>
        <w:t xml:space="preserve"> financiële producten </w:t>
      </w:r>
      <w:r w:rsidR="00FD6AA6">
        <w:rPr>
          <w:rFonts w:cs="Times New Roman"/>
          <w:szCs w:val="20"/>
        </w:rPr>
        <w:t>kunnen</w:t>
      </w:r>
      <w:r w:rsidR="00FD6AA6" w:rsidRPr="000537DA">
        <w:rPr>
          <w:rFonts w:cs="Times New Roman"/>
          <w:szCs w:val="20"/>
        </w:rPr>
        <w:t xml:space="preserve"> </w:t>
      </w:r>
      <w:r w:rsidR="00FD6AA6">
        <w:rPr>
          <w:rFonts w:cs="Times New Roman"/>
          <w:szCs w:val="20"/>
        </w:rPr>
        <w:t>tre</w:t>
      </w:r>
      <w:r w:rsidR="00FD6AA6" w:rsidRPr="000537DA">
        <w:rPr>
          <w:rFonts w:cs="Times New Roman"/>
          <w:szCs w:val="20"/>
        </w:rPr>
        <w:t xml:space="preserve">ffen </w:t>
      </w:r>
      <w:r w:rsidRPr="000537DA">
        <w:rPr>
          <w:rFonts w:cs="Times New Roman"/>
          <w:szCs w:val="20"/>
        </w:rPr>
        <w:t>die op de Belgische markt worden aangeboden.</w:t>
      </w:r>
      <w:r w:rsidR="00E64F47">
        <w:rPr>
          <w:rFonts w:cs="Times New Roman"/>
          <w:szCs w:val="20"/>
        </w:rPr>
        <w:t xml:space="preserve"> </w:t>
      </w:r>
      <w:r w:rsidR="00C636BB" w:rsidRPr="000537DA">
        <w:rPr>
          <w:rFonts w:cs="Times New Roman"/>
          <w:szCs w:val="20"/>
        </w:rPr>
        <w:t xml:space="preserve">Langs de kant van de afnemers </w:t>
      </w:r>
      <w:r w:rsidR="00970615">
        <w:rPr>
          <w:rFonts w:cs="Times New Roman"/>
          <w:szCs w:val="20"/>
        </w:rPr>
        <w:t>bestaan</w:t>
      </w:r>
      <w:r w:rsidR="00C636BB" w:rsidRPr="000537DA">
        <w:rPr>
          <w:rFonts w:cs="Times New Roman"/>
          <w:szCs w:val="20"/>
        </w:rPr>
        <w:t xml:space="preserve"> </w:t>
      </w:r>
      <w:r w:rsidR="00970615">
        <w:rPr>
          <w:rFonts w:cs="Times New Roman"/>
          <w:szCs w:val="20"/>
        </w:rPr>
        <w:t>daar</w:t>
      </w:r>
      <w:r w:rsidR="001E1AB0">
        <w:rPr>
          <w:rFonts w:cs="Times New Roman"/>
          <w:szCs w:val="20"/>
        </w:rPr>
        <w:t>e</w:t>
      </w:r>
      <w:r w:rsidR="00970615">
        <w:rPr>
          <w:rFonts w:cs="Times New Roman"/>
          <w:szCs w:val="20"/>
        </w:rPr>
        <w:t>ntegen</w:t>
      </w:r>
      <w:r w:rsidR="001E1AB0">
        <w:rPr>
          <w:rFonts w:cs="Times New Roman"/>
          <w:szCs w:val="20"/>
        </w:rPr>
        <w:t xml:space="preserve"> </w:t>
      </w:r>
      <w:r w:rsidR="00F6392C" w:rsidRPr="000537DA">
        <w:rPr>
          <w:rFonts w:cs="Times New Roman"/>
          <w:szCs w:val="20"/>
        </w:rPr>
        <w:t>wel</w:t>
      </w:r>
      <w:r w:rsidR="00C636BB" w:rsidRPr="000537DA">
        <w:rPr>
          <w:rFonts w:cs="Times New Roman"/>
          <w:szCs w:val="20"/>
        </w:rPr>
        <w:t xml:space="preserve"> beperking</w:t>
      </w:r>
      <w:r w:rsidR="001E1AB0">
        <w:rPr>
          <w:rFonts w:cs="Times New Roman"/>
          <w:szCs w:val="20"/>
        </w:rPr>
        <w:t>en.</w:t>
      </w:r>
      <w:r w:rsidR="00C636BB" w:rsidRPr="000537DA">
        <w:rPr>
          <w:rFonts w:cs="Times New Roman"/>
          <w:szCs w:val="20"/>
        </w:rPr>
        <w:t xml:space="preserve"> </w:t>
      </w:r>
      <w:r w:rsidR="008A2120">
        <w:rPr>
          <w:rFonts w:cs="Times New Roman"/>
          <w:szCs w:val="20"/>
        </w:rPr>
        <w:t>De FSMA moet immers</w:t>
      </w:r>
      <w:r w:rsidR="00F6392C" w:rsidRPr="000537DA">
        <w:rPr>
          <w:rFonts w:cs="Times New Roman"/>
          <w:szCs w:val="20"/>
        </w:rPr>
        <w:t xml:space="preserve"> </w:t>
      </w:r>
      <w:r w:rsidR="008A2120">
        <w:rPr>
          <w:rFonts w:cs="Times New Roman"/>
          <w:szCs w:val="20"/>
        </w:rPr>
        <w:t>rekening houden “</w:t>
      </w:r>
      <w:r w:rsidR="00DA7213" w:rsidRPr="000537DA">
        <w:rPr>
          <w:rFonts w:cs="Times New Roman"/>
          <w:i/>
          <w:szCs w:val="20"/>
        </w:rPr>
        <w:t>met de belangen van de afnemers van financiële producten of diensten</w:t>
      </w:r>
      <w:r w:rsidR="00DA7213" w:rsidRPr="000537DA">
        <w:rPr>
          <w:rFonts w:cs="Times New Roman"/>
          <w:szCs w:val="20"/>
        </w:rPr>
        <w:t>”</w:t>
      </w:r>
      <w:r w:rsidR="000B4501" w:rsidRPr="000537DA">
        <w:rPr>
          <w:rFonts w:cs="Times New Roman"/>
          <w:szCs w:val="20"/>
        </w:rPr>
        <w:t xml:space="preserve">. </w:t>
      </w:r>
      <w:r w:rsidR="001E1AB0">
        <w:rPr>
          <w:rFonts w:cs="Times New Roman"/>
          <w:szCs w:val="20"/>
        </w:rPr>
        <w:t>D</w:t>
      </w:r>
      <w:r w:rsidR="00DA7213" w:rsidRPr="000537DA">
        <w:rPr>
          <w:rFonts w:cs="Times New Roman"/>
          <w:szCs w:val="20"/>
        </w:rPr>
        <w:t>e invulling van de begrippen ‘financiële producten’ en ‘financiële diensten’</w:t>
      </w:r>
      <w:r w:rsidR="001E1AB0">
        <w:rPr>
          <w:rFonts w:cs="Times New Roman"/>
          <w:szCs w:val="20"/>
        </w:rPr>
        <w:t xml:space="preserve"> bepaalt </w:t>
      </w:r>
      <w:r w:rsidR="008A2120">
        <w:rPr>
          <w:rFonts w:cs="Times New Roman"/>
          <w:szCs w:val="20"/>
        </w:rPr>
        <w:t xml:space="preserve">op die wijze ten aanzien van wie </w:t>
      </w:r>
      <w:r w:rsidR="001E1AB0">
        <w:rPr>
          <w:rFonts w:cs="Times New Roman"/>
          <w:szCs w:val="20"/>
        </w:rPr>
        <w:t>de re</w:t>
      </w:r>
      <w:r w:rsidR="0007006A">
        <w:rPr>
          <w:rFonts w:cs="Times New Roman"/>
          <w:szCs w:val="20"/>
        </w:rPr>
        <w:softHyphen/>
      </w:r>
      <w:r w:rsidR="001E1AB0">
        <w:rPr>
          <w:rFonts w:cs="Times New Roman"/>
          <w:szCs w:val="20"/>
        </w:rPr>
        <w:t xml:space="preserve">glementen </w:t>
      </w:r>
      <w:r w:rsidR="008A2120">
        <w:rPr>
          <w:rFonts w:cs="Times New Roman"/>
          <w:szCs w:val="20"/>
        </w:rPr>
        <w:t>van toepassing zijn</w:t>
      </w:r>
      <w:r w:rsidR="00F6392C" w:rsidRPr="000537DA">
        <w:rPr>
          <w:rFonts w:cs="Times New Roman"/>
          <w:szCs w:val="20"/>
        </w:rPr>
        <w:t>.</w:t>
      </w:r>
      <w:r w:rsidR="000B4501" w:rsidRPr="000537DA">
        <w:rPr>
          <w:rFonts w:cs="Times New Roman"/>
          <w:szCs w:val="20"/>
        </w:rPr>
        <w:t xml:space="preserve"> </w:t>
      </w:r>
      <w:r w:rsidR="001E1AB0">
        <w:rPr>
          <w:rFonts w:cs="Times New Roman"/>
          <w:szCs w:val="20"/>
        </w:rPr>
        <w:t>Het</w:t>
      </w:r>
      <w:r w:rsidR="00D83C90" w:rsidRPr="000537DA">
        <w:rPr>
          <w:rFonts w:cs="Times New Roman"/>
          <w:szCs w:val="20"/>
        </w:rPr>
        <w:t xml:space="preserve"> </w:t>
      </w:r>
      <w:r w:rsidR="00E413DF">
        <w:rPr>
          <w:rFonts w:cs="Times New Roman"/>
          <w:szCs w:val="20"/>
        </w:rPr>
        <w:t>aanknopingspunt</w:t>
      </w:r>
      <w:r w:rsidR="001E1AB0">
        <w:rPr>
          <w:rFonts w:cs="Times New Roman"/>
          <w:szCs w:val="20"/>
        </w:rPr>
        <w:t xml:space="preserve"> ‘financiële diensten’</w:t>
      </w:r>
      <w:r w:rsidR="008A2120">
        <w:rPr>
          <w:rStyle w:val="Voetnootmarkering"/>
          <w:rFonts w:cs="Times New Roman"/>
          <w:szCs w:val="20"/>
        </w:rPr>
        <w:footnoteReference w:id="11"/>
      </w:r>
      <w:r w:rsidRPr="000537DA">
        <w:rPr>
          <w:rFonts w:cs="Times New Roman"/>
          <w:szCs w:val="20"/>
        </w:rPr>
        <w:t xml:space="preserve"> </w:t>
      </w:r>
      <w:r w:rsidR="00D83C90" w:rsidRPr="000537DA">
        <w:rPr>
          <w:rFonts w:cs="Times New Roman"/>
          <w:szCs w:val="20"/>
        </w:rPr>
        <w:t xml:space="preserve">lijkt </w:t>
      </w:r>
      <w:r w:rsidRPr="000537DA">
        <w:rPr>
          <w:rFonts w:cs="Times New Roman"/>
          <w:szCs w:val="20"/>
        </w:rPr>
        <w:t xml:space="preserve">echter </w:t>
      </w:r>
      <w:r w:rsidR="00D83C90" w:rsidRPr="000537DA">
        <w:rPr>
          <w:rFonts w:cs="Times New Roman"/>
          <w:szCs w:val="20"/>
        </w:rPr>
        <w:t>van geen belang te zijn doordat de drie bevoegdheden</w:t>
      </w:r>
      <w:r w:rsidR="00970615">
        <w:rPr>
          <w:rFonts w:cs="Times New Roman"/>
          <w:szCs w:val="20"/>
        </w:rPr>
        <w:t xml:space="preserve"> nadien</w:t>
      </w:r>
      <w:r w:rsidR="00D83C90" w:rsidRPr="000537DA">
        <w:rPr>
          <w:rFonts w:cs="Times New Roman"/>
          <w:szCs w:val="20"/>
        </w:rPr>
        <w:t xml:space="preserve"> enkel nog verwijzen naar</w:t>
      </w:r>
      <w:r w:rsidR="00FD6AA6">
        <w:rPr>
          <w:rFonts w:cs="Times New Roman"/>
          <w:szCs w:val="20"/>
        </w:rPr>
        <w:t xml:space="preserve"> financiële</w:t>
      </w:r>
      <w:r w:rsidR="00D83C90" w:rsidRPr="000537DA">
        <w:rPr>
          <w:rFonts w:cs="Times New Roman"/>
          <w:szCs w:val="20"/>
        </w:rPr>
        <w:t xml:space="preserve"> producten. </w:t>
      </w:r>
      <w:r w:rsidR="000B4501" w:rsidRPr="000537DA">
        <w:rPr>
          <w:rFonts w:cs="Times New Roman"/>
          <w:szCs w:val="20"/>
        </w:rPr>
        <w:t xml:space="preserve">Gelet op de </w:t>
      </w:r>
      <w:r w:rsidR="00E413DF">
        <w:rPr>
          <w:rFonts w:cs="Times New Roman"/>
          <w:szCs w:val="20"/>
        </w:rPr>
        <w:t>definitie</w:t>
      </w:r>
      <w:r w:rsidR="00DA7213" w:rsidRPr="000537DA">
        <w:rPr>
          <w:rFonts w:cs="Times New Roman"/>
          <w:szCs w:val="20"/>
        </w:rPr>
        <w:t xml:space="preserve"> van </w:t>
      </w:r>
      <w:r w:rsidR="00FD6AA6">
        <w:rPr>
          <w:rFonts w:cs="Times New Roman"/>
          <w:szCs w:val="20"/>
        </w:rPr>
        <w:t>deze laatste</w:t>
      </w:r>
      <w:r w:rsidR="00DA7213" w:rsidRPr="000537DA">
        <w:rPr>
          <w:rFonts w:cs="Times New Roman"/>
          <w:szCs w:val="20"/>
        </w:rPr>
        <w:t>, vallen afnemers van bijvoorbeeld kredieten</w:t>
      </w:r>
      <w:r w:rsidR="00E413DF">
        <w:rPr>
          <w:rFonts w:cs="Times New Roman"/>
          <w:szCs w:val="20"/>
        </w:rPr>
        <w:t xml:space="preserve"> (kredietnemers)</w:t>
      </w:r>
      <w:r w:rsidR="00DA7213" w:rsidRPr="000537DA">
        <w:rPr>
          <w:rFonts w:cs="Times New Roman"/>
          <w:szCs w:val="20"/>
        </w:rPr>
        <w:t xml:space="preserve"> buiten het toepassingsgebied van het wetsartikel.</w:t>
      </w:r>
      <w:r w:rsidR="00A81707" w:rsidRPr="000537DA">
        <w:rPr>
          <w:rFonts w:cs="Times New Roman"/>
          <w:szCs w:val="20"/>
        </w:rPr>
        <w:t xml:space="preserve"> Spaarders, beleggers en verzekeringsnemers vallen er dan weer wel onder.</w:t>
      </w:r>
      <w:r w:rsidR="008A2120" w:rsidRPr="008A2120">
        <w:rPr>
          <w:rFonts w:cs="Times New Roman"/>
          <w:szCs w:val="20"/>
        </w:rPr>
        <w:t xml:space="preserve"> </w:t>
      </w:r>
      <w:r w:rsidR="008A2120">
        <w:rPr>
          <w:rFonts w:cs="Times New Roman"/>
          <w:szCs w:val="20"/>
        </w:rPr>
        <w:t>Wanneer de FSMA daar</w:t>
      </w:r>
      <w:r w:rsidR="0007006A">
        <w:rPr>
          <w:rFonts w:cs="Times New Roman"/>
          <w:szCs w:val="20"/>
        </w:rPr>
        <w:softHyphen/>
      </w:r>
      <w:r w:rsidR="008A2120">
        <w:rPr>
          <w:rFonts w:cs="Times New Roman"/>
          <w:szCs w:val="20"/>
        </w:rPr>
        <w:t>entegen overgaat</w:t>
      </w:r>
      <w:r w:rsidR="00FD6AA6">
        <w:rPr>
          <w:rFonts w:cs="Times New Roman"/>
          <w:szCs w:val="20"/>
        </w:rPr>
        <w:t xml:space="preserve"> tot een productinterventie</w:t>
      </w:r>
      <w:r w:rsidR="008A2120">
        <w:rPr>
          <w:rFonts w:cs="Times New Roman"/>
          <w:szCs w:val="20"/>
        </w:rPr>
        <w:t xml:space="preserve"> geldt een enger toepassingsgebied doordat </w:t>
      </w:r>
      <w:r w:rsidR="00A9357C">
        <w:rPr>
          <w:rFonts w:cs="Times New Roman"/>
          <w:szCs w:val="20"/>
        </w:rPr>
        <w:t>ze</w:t>
      </w:r>
      <w:r w:rsidR="008A2120" w:rsidRPr="000537DA">
        <w:rPr>
          <w:rFonts w:cs="Times New Roman"/>
          <w:szCs w:val="20"/>
        </w:rPr>
        <w:t xml:space="preserve"> enkel de commerciali</w:t>
      </w:r>
      <w:r w:rsidR="0007006A">
        <w:rPr>
          <w:rFonts w:cs="Times New Roman"/>
          <w:szCs w:val="20"/>
        </w:rPr>
        <w:softHyphen/>
      </w:r>
      <w:r w:rsidR="008A2120" w:rsidRPr="000537DA">
        <w:rPr>
          <w:rFonts w:cs="Times New Roman"/>
          <w:szCs w:val="20"/>
        </w:rPr>
        <w:t xml:space="preserve">sering aan </w:t>
      </w:r>
      <w:r w:rsidR="00FD6AA6">
        <w:rPr>
          <w:rFonts w:cs="Times New Roman"/>
          <w:szCs w:val="20"/>
        </w:rPr>
        <w:t>‘</w:t>
      </w:r>
      <w:r w:rsidR="008A2120" w:rsidRPr="000537DA">
        <w:rPr>
          <w:rFonts w:cs="Times New Roman"/>
          <w:szCs w:val="20"/>
        </w:rPr>
        <w:t>niet-professionele cliënten</w:t>
      </w:r>
      <w:r w:rsidR="00FD6AA6">
        <w:rPr>
          <w:rFonts w:cs="Times New Roman"/>
          <w:szCs w:val="20"/>
        </w:rPr>
        <w:t>’</w:t>
      </w:r>
      <w:r w:rsidR="008A2120" w:rsidRPr="000537DA">
        <w:rPr>
          <w:rFonts w:cs="Times New Roman"/>
          <w:szCs w:val="20"/>
        </w:rPr>
        <w:t xml:space="preserve"> </w:t>
      </w:r>
      <w:r w:rsidR="008A2120">
        <w:rPr>
          <w:rFonts w:cs="Times New Roman"/>
          <w:szCs w:val="20"/>
        </w:rPr>
        <w:t>kan verbieden</w:t>
      </w:r>
      <w:r w:rsidR="008A2120" w:rsidRPr="000537DA">
        <w:rPr>
          <w:rFonts w:cs="Times New Roman"/>
          <w:szCs w:val="20"/>
        </w:rPr>
        <w:t xml:space="preserve"> of aan beperkende voorwaarden </w:t>
      </w:r>
      <w:r w:rsidR="00A9357C">
        <w:rPr>
          <w:rFonts w:cs="Times New Roman"/>
          <w:szCs w:val="20"/>
        </w:rPr>
        <w:t xml:space="preserve">kan </w:t>
      </w:r>
      <w:r w:rsidR="008A2120">
        <w:rPr>
          <w:rFonts w:cs="Times New Roman"/>
          <w:szCs w:val="20"/>
        </w:rPr>
        <w:t>onderwe</w:t>
      </w:r>
      <w:r w:rsidR="008A2120" w:rsidRPr="000537DA">
        <w:rPr>
          <w:rFonts w:cs="Times New Roman"/>
          <w:szCs w:val="20"/>
        </w:rPr>
        <w:t>rpen</w:t>
      </w:r>
      <w:r w:rsidR="008A2120">
        <w:rPr>
          <w:rFonts w:cs="Times New Roman"/>
          <w:szCs w:val="20"/>
        </w:rPr>
        <w:t>. Hierop zal bij de aparte bespreking van deze bevoegdheid worden teruggekomen (</w:t>
      </w:r>
      <w:r w:rsidR="008A2120" w:rsidRPr="00FA102D">
        <w:rPr>
          <w:rFonts w:cs="Times New Roman"/>
          <w:i/>
          <w:szCs w:val="20"/>
        </w:rPr>
        <w:t>infra</w:t>
      </w:r>
      <w:r w:rsidR="008A2120">
        <w:rPr>
          <w:rFonts w:cs="Times New Roman"/>
          <w:szCs w:val="20"/>
        </w:rPr>
        <w:t xml:space="preserve"> </w:t>
      </w:r>
      <w:r w:rsidR="00D445CB">
        <w:rPr>
          <w:rFonts w:cs="Times New Roman"/>
          <w:szCs w:val="20"/>
        </w:rPr>
        <w:fldChar w:fldCharType="begin"/>
      </w:r>
      <w:r w:rsidR="00D445CB">
        <w:rPr>
          <w:rFonts w:cs="Times New Roman"/>
          <w:szCs w:val="20"/>
        </w:rPr>
        <w:instrText xml:space="preserve"> PAGEREF _Ref531339057 \h </w:instrText>
      </w:r>
      <w:r w:rsidR="00D445CB">
        <w:rPr>
          <w:rFonts w:cs="Times New Roman"/>
          <w:szCs w:val="20"/>
        </w:rPr>
      </w:r>
      <w:r w:rsidR="00D445CB">
        <w:rPr>
          <w:rFonts w:cs="Times New Roman"/>
          <w:szCs w:val="20"/>
        </w:rPr>
        <w:fldChar w:fldCharType="separate"/>
      </w:r>
      <w:r w:rsidR="00882805">
        <w:rPr>
          <w:rFonts w:cs="Times New Roman"/>
          <w:noProof/>
          <w:szCs w:val="20"/>
        </w:rPr>
        <w:t>8</w:t>
      </w:r>
      <w:r w:rsidR="00D445CB">
        <w:rPr>
          <w:rFonts w:cs="Times New Roman"/>
          <w:szCs w:val="20"/>
        </w:rPr>
        <w:fldChar w:fldCharType="end"/>
      </w:r>
      <w:r w:rsidR="00D445CB">
        <w:rPr>
          <w:rFonts w:cs="Times New Roman"/>
          <w:szCs w:val="20"/>
        </w:rPr>
        <w:t xml:space="preserve">, </w:t>
      </w:r>
      <w:r w:rsidR="008A2120">
        <w:rPr>
          <w:rFonts w:cs="Times New Roman"/>
          <w:szCs w:val="20"/>
        </w:rPr>
        <w:t xml:space="preserve">nr. </w:t>
      </w:r>
      <w:r w:rsidR="00D445CB">
        <w:rPr>
          <w:rFonts w:cs="Times New Roman"/>
          <w:szCs w:val="20"/>
        </w:rPr>
        <w:fldChar w:fldCharType="begin"/>
      </w:r>
      <w:r w:rsidR="00D445CB">
        <w:rPr>
          <w:rFonts w:cs="Times New Roman"/>
          <w:szCs w:val="20"/>
        </w:rPr>
        <w:instrText xml:space="preserve"> REF _Ref531339057 \r \h </w:instrText>
      </w:r>
      <w:r w:rsidR="00D445CB">
        <w:rPr>
          <w:rFonts w:cs="Times New Roman"/>
          <w:szCs w:val="20"/>
        </w:rPr>
      </w:r>
      <w:r w:rsidR="00D445CB">
        <w:rPr>
          <w:rFonts w:cs="Times New Roman"/>
          <w:szCs w:val="20"/>
        </w:rPr>
        <w:fldChar w:fldCharType="separate"/>
      </w:r>
      <w:r w:rsidR="00882805">
        <w:rPr>
          <w:rFonts w:cs="Times New Roman"/>
          <w:szCs w:val="20"/>
        </w:rPr>
        <w:t>11</w:t>
      </w:r>
      <w:r w:rsidR="00D445CB">
        <w:rPr>
          <w:rFonts w:cs="Times New Roman"/>
          <w:szCs w:val="20"/>
        </w:rPr>
        <w:fldChar w:fldCharType="end"/>
      </w:r>
      <w:r w:rsidR="008A2120">
        <w:rPr>
          <w:rFonts w:cs="Times New Roman"/>
          <w:szCs w:val="20"/>
        </w:rPr>
        <w:t>)</w:t>
      </w:r>
      <w:r w:rsidR="008A2120" w:rsidRPr="000537DA">
        <w:rPr>
          <w:rFonts w:cs="Times New Roman"/>
          <w:szCs w:val="20"/>
        </w:rPr>
        <w:t>.</w:t>
      </w:r>
      <w:bookmarkEnd w:id="1"/>
    </w:p>
    <w:p w:rsidR="00DC734F" w:rsidRDefault="000537DA" w:rsidP="005F1826">
      <w:pPr>
        <w:spacing w:line="276" w:lineRule="auto"/>
        <w:rPr>
          <w:rFonts w:cs="Times New Roman"/>
          <w:szCs w:val="20"/>
        </w:rPr>
      </w:pPr>
      <w:r>
        <w:rPr>
          <w:rFonts w:cs="Times New Roman"/>
          <w:szCs w:val="20"/>
        </w:rPr>
        <w:t>De relevantie</w:t>
      </w:r>
      <w:r w:rsidR="00A81707" w:rsidRPr="000537DA">
        <w:rPr>
          <w:rFonts w:cs="Times New Roman"/>
          <w:szCs w:val="20"/>
        </w:rPr>
        <w:t xml:space="preserve"> van deze invulling ligt in </w:t>
      </w:r>
      <w:r>
        <w:rPr>
          <w:rFonts w:cs="Times New Roman"/>
          <w:szCs w:val="20"/>
        </w:rPr>
        <w:t>de voorwaarde</w:t>
      </w:r>
      <w:r w:rsidR="00A81707" w:rsidRPr="000537DA">
        <w:rPr>
          <w:rFonts w:cs="Times New Roman"/>
          <w:szCs w:val="20"/>
        </w:rPr>
        <w:t xml:space="preserve"> dat</w:t>
      </w:r>
      <w:r w:rsidR="00DE1140">
        <w:rPr>
          <w:rFonts w:cs="Times New Roman"/>
          <w:szCs w:val="20"/>
        </w:rPr>
        <w:t xml:space="preserve"> de FSMA</w:t>
      </w:r>
      <w:r w:rsidR="00A81707" w:rsidRPr="000537DA">
        <w:rPr>
          <w:rFonts w:cs="Times New Roman"/>
          <w:szCs w:val="20"/>
        </w:rPr>
        <w:t xml:space="preserve"> bij het nemen van een </w:t>
      </w:r>
      <w:r w:rsidR="00A9357C">
        <w:rPr>
          <w:rFonts w:cs="Times New Roman"/>
          <w:szCs w:val="20"/>
        </w:rPr>
        <w:t>reglement</w:t>
      </w:r>
      <w:r w:rsidR="00A81707" w:rsidRPr="000537DA">
        <w:rPr>
          <w:rFonts w:cs="Times New Roman"/>
          <w:szCs w:val="20"/>
        </w:rPr>
        <w:t xml:space="preserve"> op grond van art</w:t>
      </w:r>
      <w:r w:rsidR="00DC734F">
        <w:rPr>
          <w:rFonts w:cs="Times New Roman"/>
          <w:szCs w:val="20"/>
        </w:rPr>
        <w:t>ikel</w:t>
      </w:r>
      <w:r w:rsidR="00A81707" w:rsidRPr="000537DA">
        <w:rPr>
          <w:rFonts w:cs="Times New Roman"/>
          <w:szCs w:val="20"/>
        </w:rPr>
        <w:t xml:space="preserve"> 30</w:t>
      </w:r>
      <w:r w:rsidR="00A81707" w:rsidRPr="000537DA">
        <w:rPr>
          <w:rFonts w:cs="Times New Roman"/>
          <w:i/>
          <w:szCs w:val="20"/>
        </w:rPr>
        <w:t>bis</w:t>
      </w:r>
      <w:r w:rsidR="00A81707" w:rsidRPr="000537DA">
        <w:rPr>
          <w:rFonts w:cs="Times New Roman"/>
          <w:szCs w:val="20"/>
        </w:rPr>
        <w:t xml:space="preserve"> WFT met </w:t>
      </w:r>
      <w:r>
        <w:rPr>
          <w:rFonts w:cs="Times New Roman"/>
          <w:szCs w:val="20"/>
        </w:rPr>
        <w:t>de belangen van</w:t>
      </w:r>
      <w:r w:rsidR="00DE1140">
        <w:rPr>
          <w:rFonts w:cs="Times New Roman"/>
          <w:szCs w:val="20"/>
        </w:rPr>
        <w:t xml:space="preserve"> (een van)</w:t>
      </w:r>
      <w:r>
        <w:rPr>
          <w:rFonts w:cs="Times New Roman"/>
          <w:szCs w:val="20"/>
        </w:rPr>
        <w:t xml:space="preserve"> deze drie </w:t>
      </w:r>
      <w:r w:rsidR="00DE1140">
        <w:rPr>
          <w:rFonts w:cs="Times New Roman"/>
          <w:szCs w:val="20"/>
        </w:rPr>
        <w:t>categorieën</w:t>
      </w:r>
      <w:r>
        <w:rPr>
          <w:rFonts w:cs="Times New Roman"/>
          <w:szCs w:val="20"/>
        </w:rPr>
        <w:t xml:space="preserve"> afnemers</w:t>
      </w:r>
      <w:r w:rsidR="00A81707" w:rsidRPr="000537DA">
        <w:rPr>
          <w:rFonts w:cs="Times New Roman"/>
          <w:szCs w:val="20"/>
        </w:rPr>
        <w:t xml:space="preserve"> </w:t>
      </w:r>
      <w:r w:rsidR="00A81707" w:rsidRPr="00FD6AA6">
        <w:rPr>
          <w:rFonts w:cs="Times New Roman"/>
          <w:i/>
          <w:szCs w:val="20"/>
        </w:rPr>
        <w:t>rekening</w:t>
      </w:r>
      <w:r w:rsidR="00DE1140" w:rsidRPr="00FD6AA6">
        <w:rPr>
          <w:rFonts w:cs="Times New Roman"/>
          <w:i/>
          <w:szCs w:val="20"/>
        </w:rPr>
        <w:t xml:space="preserve"> moet</w:t>
      </w:r>
      <w:r w:rsidR="00A81707" w:rsidRPr="00FD6AA6">
        <w:rPr>
          <w:rFonts w:cs="Times New Roman"/>
          <w:i/>
          <w:szCs w:val="20"/>
        </w:rPr>
        <w:t xml:space="preserve"> houden</w:t>
      </w:r>
      <w:r w:rsidR="00FE694E" w:rsidRPr="000537DA">
        <w:rPr>
          <w:rFonts w:cs="Times New Roman"/>
          <w:szCs w:val="20"/>
        </w:rPr>
        <w:t>.</w:t>
      </w:r>
      <w:r w:rsidR="00A81707" w:rsidRPr="000537DA">
        <w:rPr>
          <w:rFonts w:cs="Times New Roman"/>
          <w:szCs w:val="20"/>
        </w:rPr>
        <w:t xml:space="preserve"> Dit </w:t>
      </w:r>
      <w:r w:rsidR="00DE1140">
        <w:rPr>
          <w:rFonts w:cs="Times New Roman"/>
          <w:szCs w:val="20"/>
        </w:rPr>
        <w:t>kan geïnterpreteerd worden in d</w:t>
      </w:r>
      <w:r w:rsidR="00A81707" w:rsidRPr="000537DA">
        <w:rPr>
          <w:rFonts w:cs="Times New Roman"/>
          <w:szCs w:val="20"/>
        </w:rPr>
        <w:t xml:space="preserve">e zin dat </w:t>
      </w:r>
      <w:r w:rsidR="00A9357C">
        <w:rPr>
          <w:rFonts w:cs="Times New Roman"/>
          <w:szCs w:val="20"/>
        </w:rPr>
        <w:t>het reglement</w:t>
      </w:r>
      <w:r w:rsidR="00A81707" w:rsidRPr="000537DA">
        <w:rPr>
          <w:rFonts w:cs="Times New Roman"/>
          <w:szCs w:val="20"/>
        </w:rPr>
        <w:t xml:space="preserve"> steeds tot doel zal moeten hebben </w:t>
      </w:r>
      <w:r w:rsidR="00E413DF">
        <w:rPr>
          <w:rFonts w:cs="Times New Roman"/>
          <w:szCs w:val="20"/>
        </w:rPr>
        <w:t xml:space="preserve">hen </w:t>
      </w:r>
      <w:r w:rsidR="00A81707" w:rsidRPr="000537DA">
        <w:rPr>
          <w:rFonts w:cs="Times New Roman"/>
          <w:szCs w:val="20"/>
        </w:rPr>
        <w:t>te beschermen.</w:t>
      </w:r>
      <w:r w:rsidR="00774B05">
        <w:rPr>
          <w:rStyle w:val="Voetnootmarkering"/>
          <w:rFonts w:cs="Times New Roman"/>
          <w:szCs w:val="20"/>
        </w:rPr>
        <w:footnoteReference w:id="12"/>
      </w:r>
      <w:r w:rsidR="000C7258" w:rsidRPr="000537DA">
        <w:rPr>
          <w:rFonts w:cs="Times New Roman"/>
          <w:szCs w:val="20"/>
        </w:rPr>
        <w:t xml:space="preserve"> </w:t>
      </w:r>
      <w:r w:rsidR="00410BF9">
        <w:rPr>
          <w:rFonts w:cs="Times New Roman"/>
          <w:szCs w:val="20"/>
        </w:rPr>
        <w:t xml:space="preserve">De doelstelling om </w:t>
      </w:r>
      <w:r w:rsidR="00FA102D">
        <w:rPr>
          <w:rFonts w:cs="Times New Roman"/>
          <w:szCs w:val="20"/>
        </w:rPr>
        <w:t>spaarders, beleggers of verzekeringsnemers</w:t>
      </w:r>
      <w:r w:rsidR="00410BF9">
        <w:rPr>
          <w:rFonts w:cs="Times New Roman"/>
          <w:szCs w:val="20"/>
        </w:rPr>
        <w:t xml:space="preserve"> te beschermen</w:t>
      </w:r>
      <w:r w:rsidR="004334A4" w:rsidRPr="000537DA">
        <w:rPr>
          <w:rFonts w:cs="Times New Roman"/>
          <w:szCs w:val="20"/>
        </w:rPr>
        <w:t xml:space="preserve"> </w:t>
      </w:r>
      <w:r w:rsidR="00B456BE" w:rsidRPr="000537DA">
        <w:rPr>
          <w:rFonts w:cs="Times New Roman"/>
          <w:szCs w:val="20"/>
        </w:rPr>
        <w:t xml:space="preserve">geldt </w:t>
      </w:r>
      <w:r w:rsidR="000F5156">
        <w:rPr>
          <w:rFonts w:cs="Times New Roman"/>
          <w:szCs w:val="20"/>
        </w:rPr>
        <w:t xml:space="preserve">bijgevolg </w:t>
      </w:r>
      <w:r w:rsidR="006113FC">
        <w:rPr>
          <w:rFonts w:cs="Times New Roman"/>
          <w:szCs w:val="20"/>
        </w:rPr>
        <w:t>steeds</w:t>
      </w:r>
      <w:r w:rsidR="00B456BE" w:rsidRPr="000537DA">
        <w:rPr>
          <w:rFonts w:cs="Times New Roman"/>
          <w:szCs w:val="20"/>
        </w:rPr>
        <w:t xml:space="preserve"> als basisvoor</w:t>
      </w:r>
      <w:r w:rsidR="0007006A">
        <w:rPr>
          <w:rFonts w:cs="Times New Roman"/>
          <w:szCs w:val="20"/>
        </w:rPr>
        <w:softHyphen/>
      </w:r>
      <w:r w:rsidR="00B456BE" w:rsidRPr="000537DA">
        <w:rPr>
          <w:rFonts w:cs="Times New Roman"/>
          <w:szCs w:val="20"/>
        </w:rPr>
        <w:t xml:space="preserve">waarde </w:t>
      </w:r>
      <w:r w:rsidR="000F5156">
        <w:rPr>
          <w:rFonts w:cs="Times New Roman"/>
          <w:szCs w:val="20"/>
        </w:rPr>
        <w:t>om</w:t>
      </w:r>
      <w:r w:rsidR="00B456BE" w:rsidRPr="000537DA">
        <w:rPr>
          <w:rFonts w:cs="Times New Roman"/>
          <w:szCs w:val="20"/>
        </w:rPr>
        <w:t xml:space="preserve"> een </w:t>
      </w:r>
      <w:r w:rsidR="00E413DF">
        <w:rPr>
          <w:rFonts w:cs="Times New Roman"/>
          <w:szCs w:val="20"/>
        </w:rPr>
        <w:t xml:space="preserve">reglement </w:t>
      </w:r>
      <w:r w:rsidR="000F5156">
        <w:rPr>
          <w:rFonts w:cs="Times New Roman"/>
          <w:szCs w:val="20"/>
        </w:rPr>
        <w:t>te kunnen uitvaardigen</w:t>
      </w:r>
      <w:r w:rsidR="00410BF9">
        <w:rPr>
          <w:rFonts w:cs="Times New Roman"/>
          <w:szCs w:val="20"/>
        </w:rPr>
        <w:t xml:space="preserve"> en de memorie van toelichting</w:t>
      </w:r>
      <w:r w:rsidR="00774B05">
        <w:rPr>
          <w:rStyle w:val="Voetnootmarkering"/>
          <w:rFonts w:cs="Times New Roman"/>
          <w:szCs w:val="20"/>
        </w:rPr>
        <w:footnoteReference w:id="13"/>
      </w:r>
      <w:r w:rsidR="00410BF9">
        <w:rPr>
          <w:rFonts w:cs="Times New Roman"/>
          <w:szCs w:val="20"/>
        </w:rPr>
        <w:t xml:space="preserve"> </w:t>
      </w:r>
      <w:r w:rsidR="00774B05">
        <w:rPr>
          <w:rFonts w:cs="Times New Roman"/>
          <w:szCs w:val="20"/>
        </w:rPr>
        <w:t xml:space="preserve">wijst daar expliciet </w:t>
      </w:r>
      <w:r w:rsidR="000F5156">
        <w:rPr>
          <w:rFonts w:cs="Times New Roman"/>
          <w:szCs w:val="20"/>
        </w:rPr>
        <w:t>op</w:t>
      </w:r>
      <w:r w:rsidR="00B456BE" w:rsidRPr="000537DA">
        <w:rPr>
          <w:rFonts w:cs="Times New Roman"/>
          <w:szCs w:val="20"/>
        </w:rPr>
        <w:t>.</w:t>
      </w:r>
      <w:r w:rsidR="00A81707" w:rsidRPr="000537DA">
        <w:rPr>
          <w:rFonts w:cs="Times New Roman"/>
          <w:szCs w:val="20"/>
        </w:rPr>
        <w:t xml:space="preserve"> Het productinterventieregime in het vroegere artikel 4</w:t>
      </w:r>
      <w:r w:rsidR="00FA102D">
        <w:rPr>
          <w:rFonts w:cs="Times New Roman"/>
          <w:szCs w:val="20"/>
        </w:rPr>
        <w:t>9</w:t>
      </w:r>
      <w:r w:rsidR="00A81707" w:rsidRPr="000537DA">
        <w:rPr>
          <w:rFonts w:cs="Times New Roman"/>
          <w:szCs w:val="20"/>
        </w:rPr>
        <w:t>, §3 WFT kon daarentegen enkel rekening houden met de be</w:t>
      </w:r>
      <w:r w:rsidR="0007006A">
        <w:rPr>
          <w:rFonts w:cs="Times New Roman"/>
          <w:szCs w:val="20"/>
        </w:rPr>
        <w:softHyphen/>
      </w:r>
      <w:r w:rsidR="00A81707" w:rsidRPr="000537DA">
        <w:rPr>
          <w:rFonts w:cs="Times New Roman"/>
          <w:szCs w:val="20"/>
        </w:rPr>
        <w:t xml:space="preserve">langen van </w:t>
      </w:r>
      <w:r w:rsidR="00FA102D">
        <w:rPr>
          <w:rFonts w:cs="Times New Roman"/>
          <w:szCs w:val="20"/>
        </w:rPr>
        <w:t>‘</w:t>
      </w:r>
      <w:r w:rsidR="00A81707" w:rsidRPr="00FA102D">
        <w:rPr>
          <w:rFonts w:cs="Times New Roman"/>
          <w:szCs w:val="20"/>
        </w:rPr>
        <w:t>consumenten</w:t>
      </w:r>
      <w:r w:rsidR="00FA102D">
        <w:rPr>
          <w:rFonts w:cs="Times New Roman"/>
          <w:szCs w:val="20"/>
        </w:rPr>
        <w:t>’</w:t>
      </w:r>
      <w:r w:rsidR="00A81707" w:rsidRPr="000537DA">
        <w:rPr>
          <w:rFonts w:cs="Times New Roman"/>
          <w:szCs w:val="20"/>
        </w:rPr>
        <w:t xml:space="preserve">, waardoor het </w:t>
      </w:r>
      <w:r w:rsidR="00D83C90" w:rsidRPr="000537DA">
        <w:rPr>
          <w:rFonts w:cs="Times New Roman"/>
          <w:szCs w:val="20"/>
        </w:rPr>
        <w:t xml:space="preserve">huidige </w:t>
      </w:r>
      <w:r w:rsidR="00A81707" w:rsidRPr="000537DA">
        <w:rPr>
          <w:rFonts w:cs="Times New Roman"/>
          <w:szCs w:val="20"/>
        </w:rPr>
        <w:t xml:space="preserve">begrip ‘afnemers’ zowel beperkter als ruimer </w:t>
      </w:r>
      <w:r w:rsidR="004D0050" w:rsidRPr="000537DA">
        <w:rPr>
          <w:rFonts w:cs="Times New Roman"/>
          <w:szCs w:val="20"/>
        </w:rPr>
        <w:t xml:space="preserve">is. Het is beperkter doordat </w:t>
      </w:r>
      <w:r w:rsidR="00DC734F">
        <w:rPr>
          <w:rFonts w:cs="Times New Roman"/>
          <w:szCs w:val="20"/>
        </w:rPr>
        <w:t xml:space="preserve">het begrip </w:t>
      </w:r>
      <w:r w:rsidR="004D0050" w:rsidRPr="000537DA">
        <w:rPr>
          <w:rFonts w:cs="Times New Roman"/>
          <w:szCs w:val="20"/>
        </w:rPr>
        <w:t>‘consument</w:t>
      </w:r>
      <w:r>
        <w:rPr>
          <w:rFonts w:cs="Times New Roman"/>
          <w:szCs w:val="20"/>
        </w:rPr>
        <w:t>en</w:t>
      </w:r>
      <w:r w:rsidR="004D0050" w:rsidRPr="000537DA">
        <w:rPr>
          <w:rFonts w:cs="Times New Roman"/>
          <w:szCs w:val="20"/>
        </w:rPr>
        <w:t>’</w:t>
      </w:r>
      <w:r>
        <w:rPr>
          <w:rFonts w:cs="Times New Roman"/>
          <w:szCs w:val="20"/>
        </w:rPr>
        <w:t xml:space="preserve"> </w:t>
      </w:r>
      <w:r w:rsidR="004D0050" w:rsidRPr="000537DA">
        <w:rPr>
          <w:rFonts w:cs="Times New Roman"/>
          <w:szCs w:val="20"/>
        </w:rPr>
        <w:t xml:space="preserve">ook kredietnemers </w:t>
      </w:r>
      <w:r w:rsidR="00DC734F">
        <w:rPr>
          <w:rFonts w:cs="Times New Roman"/>
          <w:szCs w:val="20"/>
        </w:rPr>
        <w:t xml:space="preserve">kon </w:t>
      </w:r>
      <w:r w:rsidR="004D0050" w:rsidRPr="000537DA">
        <w:rPr>
          <w:rFonts w:cs="Times New Roman"/>
          <w:szCs w:val="20"/>
        </w:rPr>
        <w:t>omvatte</w:t>
      </w:r>
      <w:r w:rsidR="00DC734F">
        <w:rPr>
          <w:rFonts w:cs="Times New Roman"/>
          <w:szCs w:val="20"/>
        </w:rPr>
        <w:t>n</w:t>
      </w:r>
      <w:r w:rsidR="004D0050" w:rsidRPr="000537DA">
        <w:rPr>
          <w:rFonts w:cs="Times New Roman"/>
          <w:szCs w:val="20"/>
        </w:rPr>
        <w:t xml:space="preserve"> die hoofdzakelijk voor privédoeleinden</w:t>
      </w:r>
      <w:r w:rsidR="00BB600C" w:rsidRPr="000537DA">
        <w:rPr>
          <w:rFonts w:cs="Times New Roman"/>
          <w:szCs w:val="20"/>
        </w:rPr>
        <w:t xml:space="preserve"> een </w:t>
      </w:r>
      <w:r w:rsidR="00FA102D">
        <w:rPr>
          <w:rFonts w:cs="Times New Roman"/>
          <w:szCs w:val="20"/>
        </w:rPr>
        <w:t>gewoon</w:t>
      </w:r>
      <w:r w:rsidR="00FA102D">
        <w:rPr>
          <w:rStyle w:val="Voetnootmarkering"/>
          <w:rFonts w:cs="Times New Roman"/>
          <w:szCs w:val="20"/>
        </w:rPr>
        <w:footnoteReference w:id="14"/>
      </w:r>
      <w:r w:rsidR="00FA102D">
        <w:rPr>
          <w:rFonts w:cs="Times New Roman"/>
          <w:szCs w:val="20"/>
        </w:rPr>
        <w:t xml:space="preserve"> of hypothecair</w:t>
      </w:r>
      <w:r w:rsidR="00FA102D">
        <w:rPr>
          <w:rStyle w:val="Voetnootmarkering"/>
          <w:rFonts w:cs="Times New Roman"/>
          <w:szCs w:val="20"/>
        </w:rPr>
        <w:footnoteReference w:id="15"/>
      </w:r>
      <w:r w:rsidR="004D0050" w:rsidRPr="000537DA">
        <w:rPr>
          <w:rFonts w:cs="Times New Roman"/>
          <w:szCs w:val="20"/>
        </w:rPr>
        <w:t xml:space="preserve"> krediet afsloten. Het is ruimer doordat nu ook spaarders, beleggers en verzekeringsne</w:t>
      </w:r>
      <w:r w:rsidR="0007006A">
        <w:rPr>
          <w:rFonts w:cs="Times New Roman"/>
          <w:szCs w:val="20"/>
        </w:rPr>
        <w:softHyphen/>
      </w:r>
      <w:r w:rsidR="004D0050" w:rsidRPr="000537DA">
        <w:rPr>
          <w:rFonts w:cs="Times New Roman"/>
          <w:szCs w:val="20"/>
        </w:rPr>
        <w:t xml:space="preserve">mers onder de toepassing van een </w:t>
      </w:r>
      <w:r w:rsidR="000F5156">
        <w:rPr>
          <w:rFonts w:cs="Times New Roman"/>
          <w:szCs w:val="20"/>
        </w:rPr>
        <w:t>reglement</w:t>
      </w:r>
      <w:r w:rsidR="004D0050" w:rsidRPr="000537DA">
        <w:rPr>
          <w:rFonts w:cs="Times New Roman"/>
          <w:szCs w:val="20"/>
        </w:rPr>
        <w:t xml:space="preserve"> kunnen vallen die </w:t>
      </w:r>
      <w:r w:rsidR="00BB600C" w:rsidRPr="000537DA">
        <w:rPr>
          <w:rFonts w:cs="Times New Roman"/>
          <w:szCs w:val="20"/>
        </w:rPr>
        <w:t>deels</w:t>
      </w:r>
      <w:r>
        <w:rPr>
          <w:rStyle w:val="Voetnootmarkering"/>
          <w:rFonts w:cs="Times New Roman"/>
          <w:szCs w:val="20"/>
        </w:rPr>
        <w:footnoteReference w:id="16"/>
      </w:r>
      <w:r w:rsidR="00BB600C" w:rsidRPr="000537DA">
        <w:rPr>
          <w:rFonts w:cs="Times New Roman"/>
          <w:szCs w:val="20"/>
        </w:rPr>
        <w:t xml:space="preserve"> </w:t>
      </w:r>
      <w:r w:rsidR="006F2219">
        <w:rPr>
          <w:rFonts w:cs="Times New Roman"/>
          <w:szCs w:val="20"/>
        </w:rPr>
        <w:t>of zelfs</w:t>
      </w:r>
      <w:r w:rsidR="00BB600C" w:rsidRPr="000537DA">
        <w:rPr>
          <w:rFonts w:cs="Times New Roman"/>
          <w:szCs w:val="20"/>
        </w:rPr>
        <w:t xml:space="preserve"> </w:t>
      </w:r>
      <w:r w:rsidR="004D0050" w:rsidRPr="000537DA">
        <w:rPr>
          <w:rFonts w:cs="Times New Roman"/>
          <w:szCs w:val="20"/>
        </w:rPr>
        <w:t xml:space="preserve">uitsluitend voor </w:t>
      </w:r>
      <w:r w:rsidR="00DC734F">
        <w:rPr>
          <w:rFonts w:cs="Times New Roman"/>
          <w:szCs w:val="20"/>
        </w:rPr>
        <w:t xml:space="preserve">professionele </w:t>
      </w:r>
      <w:r w:rsidR="004D0050" w:rsidRPr="000537DA">
        <w:rPr>
          <w:rFonts w:cs="Times New Roman"/>
          <w:szCs w:val="20"/>
        </w:rPr>
        <w:t>doel</w:t>
      </w:r>
      <w:r w:rsidR="0007006A">
        <w:rPr>
          <w:rFonts w:cs="Times New Roman"/>
          <w:szCs w:val="20"/>
        </w:rPr>
        <w:softHyphen/>
      </w:r>
      <w:r w:rsidR="004D0050" w:rsidRPr="000537DA">
        <w:rPr>
          <w:rFonts w:cs="Times New Roman"/>
          <w:szCs w:val="20"/>
        </w:rPr>
        <w:t>einden als afnemer van een financieel product</w:t>
      </w:r>
      <w:r w:rsidR="00CB407E" w:rsidRPr="000537DA">
        <w:rPr>
          <w:rFonts w:cs="Times New Roman"/>
          <w:szCs w:val="20"/>
        </w:rPr>
        <w:t xml:space="preserve"> handelen</w:t>
      </w:r>
      <w:r w:rsidR="004D0050" w:rsidRPr="000537DA">
        <w:rPr>
          <w:rFonts w:cs="Times New Roman"/>
          <w:szCs w:val="20"/>
        </w:rPr>
        <w:t>.</w:t>
      </w:r>
      <w:r w:rsidR="00D83C90">
        <w:rPr>
          <w:rStyle w:val="Voetnootmarkering"/>
          <w:rFonts w:cs="Times New Roman"/>
          <w:szCs w:val="20"/>
        </w:rPr>
        <w:footnoteReference w:id="17"/>
      </w:r>
      <w:r w:rsidR="009E3D36" w:rsidRPr="000537DA">
        <w:rPr>
          <w:rFonts w:cs="Times New Roman"/>
          <w:szCs w:val="20"/>
        </w:rPr>
        <w:t xml:space="preserve"> Ook wanneer sprake is van een verbod of beperkende voorwaarden betreffende de commercialisering aan ‘niet-professionele cliënten’, moet benadrukt worden dat ook </w:t>
      </w:r>
      <w:r w:rsidR="009E3D36" w:rsidRPr="000537DA">
        <w:rPr>
          <w:rFonts w:cs="Times New Roman"/>
          <w:szCs w:val="20"/>
        </w:rPr>
        <w:lastRenderedPageBreak/>
        <w:t>deze laatste zorgt voor ruimere toepassingsmogelijkheden dan wanneer het begrip consument werd gehanteerd</w:t>
      </w:r>
      <w:r w:rsidR="000C7C9F">
        <w:rPr>
          <w:rFonts w:cs="Times New Roman"/>
          <w:szCs w:val="20"/>
        </w:rPr>
        <w:t xml:space="preserve"> (</w:t>
      </w:r>
      <w:r w:rsidR="006F2219" w:rsidRPr="006F2219">
        <w:rPr>
          <w:rFonts w:cs="Times New Roman"/>
          <w:i/>
          <w:szCs w:val="20"/>
        </w:rPr>
        <w:t>infra</w:t>
      </w:r>
      <w:r w:rsidR="006F2219">
        <w:rPr>
          <w:rFonts w:cs="Times New Roman"/>
          <w:szCs w:val="20"/>
        </w:rPr>
        <w:t xml:space="preserve"> </w:t>
      </w:r>
      <w:r w:rsidR="00D445CB">
        <w:rPr>
          <w:rFonts w:cs="Times New Roman"/>
          <w:szCs w:val="20"/>
        </w:rPr>
        <w:fldChar w:fldCharType="begin"/>
      </w:r>
      <w:r w:rsidR="00D445CB">
        <w:rPr>
          <w:rFonts w:cs="Times New Roman"/>
          <w:szCs w:val="20"/>
        </w:rPr>
        <w:instrText xml:space="preserve"> PAGEREF _Ref531339153 \h </w:instrText>
      </w:r>
      <w:r w:rsidR="00D445CB">
        <w:rPr>
          <w:rFonts w:cs="Times New Roman"/>
          <w:szCs w:val="20"/>
        </w:rPr>
      </w:r>
      <w:r w:rsidR="00D445CB">
        <w:rPr>
          <w:rFonts w:cs="Times New Roman"/>
          <w:szCs w:val="20"/>
        </w:rPr>
        <w:fldChar w:fldCharType="separate"/>
      </w:r>
      <w:r w:rsidR="00882805">
        <w:rPr>
          <w:rFonts w:cs="Times New Roman"/>
          <w:noProof/>
          <w:szCs w:val="20"/>
        </w:rPr>
        <w:t>9</w:t>
      </w:r>
      <w:r w:rsidR="00D445CB">
        <w:rPr>
          <w:rFonts w:cs="Times New Roman"/>
          <w:szCs w:val="20"/>
        </w:rPr>
        <w:fldChar w:fldCharType="end"/>
      </w:r>
      <w:r w:rsidR="00D445CB">
        <w:rPr>
          <w:rFonts w:cs="Times New Roman"/>
          <w:szCs w:val="20"/>
        </w:rPr>
        <w:t xml:space="preserve">, </w:t>
      </w:r>
      <w:r w:rsidR="000C7C9F" w:rsidRPr="006F2219">
        <w:rPr>
          <w:rFonts w:cs="Times New Roman"/>
          <w:szCs w:val="20"/>
        </w:rPr>
        <w:t>nr</w:t>
      </w:r>
      <w:r w:rsidR="000C7C9F">
        <w:rPr>
          <w:rFonts w:cs="Times New Roman"/>
          <w:szCs w:val="20"/>
        </w:rPr>
        <w:t xml:space="preserve">. </w:t>
      </w:r>
      <w:r w:rsidR="00D445CB">
        <w:rPr>
          <w:rFonts w:cs="Times New Roman"/>
          <w:szCs w:val="20"/>
        </w:rPr>
        <w:fldChar w:fldCharType="begin"/>
      </w:r>
      <w:r w:rsidR="00D445CB">
        <w:rPr>
          <w:rFonts w:cs="Times New Roman"/>
          <w:szCs w:val="20"/>
        </w:rPr>
        <w:instrText xml:space="preserve"> REF _Ref531339153 \r \h </w:instrText>
      </w:r>
      <w:r w:rsidR="00D445CB">
        <w:rPr>
          <w:rFonts w:cs="Times New Roman"/>
          <w:szCs w:val="20"/>
        </w:rPr>
      </w:r>
      <w:r w:rsidR="00D445CB">
        <w:rPr>
          <w:rFonts w:cs="Times New Roman"/>
          <w:szCs w:val="20"/>
        </w:rPr>
        <w:fldChar w:fldCharType="separate"/>
      </w:r>
      <w:r w:rsidR="00882805">
        <w:rPr>
          <w:rFonts w:cs="Times New Roman"/>
          <w:szCs w:val="20"/>
        </w:rPr>
        <w:t>12</w:t>
      </w:r>
      <w:r w:rsidR="00D445CB">
        <w:rPr>
          <w:rFonts w:cs="Times New Roman"/>
          <w:szCs w:val="20"/>
        </w:rPr>
        <w:fldChar w:fldCharType="end"/>
      </w:r>
      <w:r w:rsidR="000C7C9F">
        <w:rPr>
          <w:rFonts w:cs="Times New Roman"/>
          <w:szCs w:val="20"/>
        </w:rPr>
        <w:t>)</w:t>
      </w:r>
      <w:r w:rsidR="009E3D36" w:rsidRPr="000537DA">
        <w:rPr>
          <w:rFonts w:cs="Times New Roman"/>
          <w:szCs w:val="20"/>
        </w:rPr>
        <w:t>.</w:t>
      </w:r>
      <w:bookmarkStart w:id="2" w:name="_Ref529952470"/>
    </w:p>
    <w:p w:rsidR="00DA63E4" w:rsidRPr="00DC734F" w:rsidRDefault="00DA63E4" w:rsidP="00DC734F">
      <w:pPr>
        <w:pStyle w:val="Lijstalinea"/>
        <w:numPr>
          <w:ilvl w:val="0"/>
          <w:numId w:val="3"/>
        </w:numPr>
        <w:spacing w:line="276" w:lineRule="auto"/>
        <w:rPr>
          <w:rFonts w:cs="Times New Roman"/>
          <w:szCs w:val="20"/>
        </w:rPr>
      </w:pPr>
      <w:bookmarkStart w:id="3" w:name="_Ref531339298"/>
      <w:r w:rsidRPr="00DC734F">
        <w:rPr>
          <w:rFonts w:cs="Times New Roman"/>
          <w:i/>
          <w:szCs w:val="20"/>
        </w:rPr>
        <w:t>Europeesrechtelijke interventieregimes</w:t>
      </w:r>
      <w:r w:rsidRPr="00DC734F">
        <w:rPr>
          <w:rFonts w:cs="Times New Roman"/>
          <w:szCs w:val="20"/>
        </w:rPr>
        <w:t xml:space="preserve"> ‒ Ten </w:t>
      </w:r>
      <w:r w:rsidR="008E322D" w:rsidRPr="00DC734F">
        <w:rPr>
          <w:rFonts w:cs="Times New Roman"/>
          <w:szCs w:val="20"/>
        </w:rPr>
        <w:t>derde</w:t>
      </w:r>
      <w:r w:rsidRPr="00DC734F">
        <w:rPr>
          <w:rFonts w:cs="Times New Roman"/>
          <w:szCs w:val="20"/>
        </w:rPr>
        <w:t xml:space="preserve"> geldt dit artikel maar voor zover </w:t>
      </w:r>
      <w:r w:rsidR="00DE1140">
        <w:rPr>
          <w:rFonts w:cs="Times New Roman"/>
          <w:szCs w:val="20"/>
        </w:rPr>
        <w:t>het</w:t>
      </w:r>
      <w:r w:rsidRPr="00DC734F">
        <w:rPr>
          <w:rFonts w:cs="Times New Roman"/>
          <w:szCs w:val="20"/>
        </w:rPr>
        <w:t xml:space="preserve"> niet in strijd is met het productinterventieregime van MiFIR (</w:t>
      </w:r>
      <w:r w:rsidR="00CC4412" w:rsidRPr="00DC734F">
        <w:rPr>
          <w:rFonts w:cs="Times New Roman"/>
          <w:szCs w:val="20"/>
        </w:rPr>
        <w:t xml:space="preserve">met name de </w:t>
      </w:r>
      <w:r w:rsidRPr="00DC734F">
        <w:rPr>
          <w:rFonts w:cs="Times New Roman"/>
          <w:szCs w:val="20"/>
        </w:rPr>
        <w:t>artikelen 39 tot en met 43</w:t>
      </w:r>
      <w:r w:rsidR="00CC4412" w:rsidRPr="00DC734F">
        <w:rPr>
          <w:rFonts w:cs="Times New Roman"/>
          <w:szCs w:val="20"/>
        </w:rPr>
        <w:t xml:space="preserve"> van deze verordening</w:t>
      </w:r>
      <w:r w:rsidRPr="00DC734F">
        <w:rPr>
          <w:rFonts w:cs="Times New Roman"/>
          <w:szCs w:val="20"/>
        </w:rPr>
        <w:t>) dat sinds 3 januari 2018 van kracht is.</w:t>
      </w:r>
      <w:r>
        <w:rPr>
          <w:rStyle w:val="Voetnootmarkering"/>
          <w:rFonts w:cs="Times New Roman"/>
          <w:szCs w:val="20"/>
        </w:rPr>
        <w:footnoteReference w:id="18"/>
      </w:r>
      <w:r w:rsidRPr="00DC734F">
        <w:rPr>
          <w:rFonts w:cs="Times New Roman"/>
          <w:szCs w:val="20"/>
        </w:rPr>
        <w:t xml:space="preserve"> Kort gezegd voorzien deze artikelen in mogelijke </w:t>
      </w:r>
      <w:r w:rsidR="00774B05">
        <w:rPr>
          <w:rFonts w:cs="Times New Roman"/>
          <w:szCs w:val="20"/>
        </w:rPr>
        <w:t xml:space="preserve">Europeesrechtelijke </w:t>
      </w:r>
      <w:r w:rsidRPr="00DC734F">
        <w:rPr>
          <w:rFonts w:cs="Times New Roman"/>
          <w:szCs w:val="20"/>
        </w:rPr>
        <w:t>productinter</w:t>
      </w:r>
      <w:r w:rsidR="0007006A">
        <w:rPr>
          <w:rFonts w:cs="Times New Roman"/>
          <w:szCs w:val="20"/>
        </w:rPr>
        <w:softHyphen/>
      </w:r>
      <w:r w:rsidRPr="00DC734F">
        <w:rPr>
          <w:rFonts w:cs="Times New Roman"/>
          <w:szCs w:val="20"/>
        </w:rPr>
        <w:t>venties</w:t>
      </w:r>
      <w:r w:rsidR="00774B05">
        <w:rPr>
          <w:rFonts w:cs="Times New Roman"/>
          <w:szCs w:val="20"/>
        </w:rPr>
        <w:t xml:space="preserve">: </w:t>
      </w:r>
      <w:r w:rsidR="007578FF">
        <w:rPr>
          <w:rFonts w:cs="Times New Roman"/>
          <w:szCs w:val="20"/>
        </w:rPr>
        <w:t xml:space="preserve">de </w:t>
      </w:r>
      <w:r w:rsidR="005F1826" w:rsidRPr="00DC734F">
        <w:rPr>
          <w:rFonts w:cs="Times New Roman"/>
          <w:i/>
          <w:szCs w:val="20"/>
        </w:rPr>
        <w:t>European Banking Authority</w:t>
      </w:r>
      <w:r w:rsidR="005F1826" w:rsidRPr="00DC734F">
        <w:rPr>
          <w:rFonts w:cs="Times New Roman"/>
          <w:szCs w:val="20"/>
        </w:rPr>
        <w:t xml:space="preserve"> (EBA) en de </w:t>
      </w:r>
      <w:r w:rsidR="005F1826" w:rsidRPr="00DC734F">
        <w:rPr>
          <w:rFonts w:cs="Times New Roman"/>
          <w:i/>
          <w:szCs w:val="20"/>
        </w:rPr>
        <w:t>European Securities and Market Authority</w:t>
      </w:r>
      <w:r w:rsidR="005F1826" w:rsidRPr="00DC734F">
        <w:rPr>
          <w:rFonts w:cs="Times New Roman"/>
          <w:szCs w:val="20"/>
        </w:rPr>
        <w:t xml:space="preserve"> (ESMA)</w:t>
      </w:r>
      <w:r w:rsidR="00774B05">
        <w:rPr>
          <w:rFonts w:cs="Times New Roman"/>
          <w:szCs w:val="20"/>
        </w:rPr>
        <w:t xml:space="preserve"> </w:t>
      </w:r>
      <w:r w:rsidR="007578FF">
        <w:rPr>
          <w:rFonts w:cs="Times New Roman"/>
          <w:szCs w:val="20"/>
        </w:rPr>
        <w:t xml:space="preserve">kunnen op EU-niveau ingrijpen </w:t>
      </w:r>
      <w:r w:rsidR="00774B05">
        <w:rPr>
          <w:rFonts w:cs="Times New Roman"/>
          <w:szCs w:val="20"/>
        </w:rPr>
        <w:t>en op niveau van de lidstaten bestaat sindsdien</w:t>
      </w:r>
      <w:r w:rsidRPr="00DC734F">
        <w:rPr>
          <w:rFonts w:cs="Times New Roman"/>
          <w:szCs w:val="20"/>
        </w:rPr>
        <w:t xml:space="preserve"> een eenvormig productinterventieregime voor de nationale financiële toezichthouders. Wanneer de FSMA </w:t>
      </w:r>
      <w:r w:rsidR="00DE1140">
        <w:rPr>
          <w:rFonts w:cs="Times New Roman"/>
          <w:szCs w:val="20"/>
        </w:rPr>
        <w:t>van plan</w:t>
      </w:r>
      <w:r w:rsidRPr="00DC734F">
        <w:rPr>
          <w:rFonts w:cs="Times New Roman"/>
          <w:szCs w:val="20"/>
        </w:rPr>
        <w:t xml:space="preserve"> is een maat</w:t>
      </w:r>
      <w:r w:rsidR="009B0512">
        <w:rPr>
          <w:rFonts w:cs="Times New Roman"/>
          <w:szCs w:val="20"/>
        </w:rPr>
        <w:t>regel te nemen op grond van artikel</w:t>
      </w:r>
      <w:r w:rsidRPr="00DC734F">
        <w:rPr>
          <w:rFonts w:cs="Times New Roman"/>
          <w:szCs w:val="20"/>
        </w:rPr>
        <w:t xml:space="preserve"> 30</w:t>
      </w:r>
      <w:r w:rsidRPr="00DC734F">
        <w:rPr>
          <w:rFonts w:cs="Times New Roman"/>
          <w:i/>
          <w:szCs w:val="20"/>
        </w:rPr>
        <w:t>bis</w:t>
      </w:r>
      <w:r w:rsidRPr="00DC734F">
        <w:rPr>
          <w:rFonts w:cs="Times New Roman"/>
          <w:szCs w:val="20"/>
        </w:rPr>
        <w:t xml:space="preserve"> WFT en dit binnen het toepassingsge</w:t>
      </w:r>
      <w:r w:rsidR="00EA122D" w:rsidRPr="00DC734F">
        <w:rPr>
          <w:rFonts w:cs="Times New Roman"/>
          <w:szCs w:val="20"/>
        </w:rPr>
        <w:t>bied valt van het</w:t>
      </w:r>
      <w:r w:rsidRPr="00DC734F">
        <w:rPr>
          <w:rFonts w:cs="Times New Roman"/>
          <w:szCs w:val="20"/>
        </w:rPr>
        <w:t xml:space="preserve"> geharmoniseerde MiFIR-regime, dan zal </w:t>
      </w:r>
      <w:r w:rsidR="006838B6">
        <w:rPr>
          <w:rFonts w:cs="Times New Roman"/>
          <w:szCs w:val="20"/>
        </w:rPr>
        <w:t>ze sinds de inwerkingtreding</w:t>
      </w:r>
      <w:r w:rsidRPr="00DC734F">
        <w:rPr>
          <w:rFonts w:cs="Times New Roman"/>
          <w:szCs w:val="20"/>
        </w:rPr>
        <w:t xml:space="preserve"> aan deze laatste voorrang moeten verlenen. Aangezien het becommentarieerde wetsar</w:t>
      </w:r>
      <w:r w:rsidR="0007006A">
        <w:rPr>
          <w:rFonts w:cs="Times New Roman"/>
          <w:szCs w:val="20"/>
        </w:rPr>
        <w:softHyphen/>
      </w:r>
      <w:r w:rsidRPr="00DC734F">
        <w:rPr>
          <w:rFonts w:cs="Times New Roman"/>
          <w:szCs w:val="20"/>
        </w:rPr>
        <w:t xml:space="preserve">tikel van toepassing is op ‘financiële producten’, </w:t>
      </w:r>
      <w:r w:rsidR="000F5156">
        <w:rPr>
          <w:rFonts w:cs="Times New Roman"/>
          <w:szCs w:val="20"/>
        </w:rPr>
        <w:t>wat</w:t>
      </w:r>
      <w:r w:rsidRPr="00DC734F">
        <w:rPr>
          <w:rFonts w:cs="Times New Roman"/>
          <w:szCs w:val="20"/>
        </w:rPr>
        <w:t xml:space="preserve"> zoals aangegeven ook verzekeringsproducten omvat</w:t>
      </w:r>
      <w:r w:rsidR="000F5156">
        <w:rPr>
          <w:rFonts w:cs="Times New Roman"/>
          <w:szCs w:val="20"/>
        </w:rPr>
        <w:t xml:space="preserve"> (</w:t>
      </w:r>
      <w:r w:rsidR="000F5156" w:rsidRPr="000F5156">
        <w:rPr>
          <w:rFonts w:cs="Times New Roman"/>
          <w:i/>
          <w:szCs w:val="20"/>
        </w:rPr>
        <w:t>supra</w:t>
      </w:r>
      <w:r w:rsidR="000F5156">
        <w:rPr>
          <w:rFonts w:cs="Times New Roman"/>
          <w:szCs w:val="20"/>
        </w:rPr>
        <w:t xml:space="preserve"> </w:t>
      </w:r>
      <w:r w:rsidR="000F5156">
        <w:rPr>
          <w:rFonts w:cs="Times New Roman"/>
          <w:szCs w:val="20"/>
        </w:rPr>
        <w:fldChar w:fldCharType="begin"/>
      </w:r>
      <w:r w:rsidR="000F5156">
        <w:rPr>
          <w:rFonts w:cs="Times New Roman"/>
          <w:szCs w:val="20"/>
        </w:rPr>
        <w:instrText xml:space="preserve"> PAGEREF _Ref531339627 \h </w:instrText>
      </w:r>
      <w:r w:rsidR="000F5156">
        <w:rPr>
          <w:rFonts w:cs="Times New Roman"/>
          <w:szCs w:val="20"/>
        </w:rPr>
      </w:r>
      <w:r w:rsidR="000F5156">
        <w:rPr>
          <w:rFonts w:cs="Times New Roman"/>
          <w:szCs w:val="20"/>
        </w:rPr>
        <w:fldChar w:fldCharType="separate"/>
      </w:r>
      <w:r w:rsidR="00882805">
        <w:rPr>
          <w:rFonts w:cs="Times New Roman"/>
          <w:noProof/>
          <w:szCs w:val="20"/>
        </w:rPr>
        <w:t>5</w:t>
      </w:r>
      <w:r w:rsidR="000F5156">
        <w:rPr>
          <w:rFonts w:cs="Times New Roman"/>
          <w:szCs w:val="20"/>
        </w:rPr>
        <w:fldChar w:fldCharType="end"/>
      </w:r>
      <w:r w:rsidR="000F5156">
        <w:rPr>
          <w:rFonts w:cs="Times New Roman"/>
          <w:szCs w:val="20"/>
        </w:rPr>
        <w:t xml:space="preserve">, nr. </w:t>
      </w:r>
      <w:r w:rsidR="000F5156">
        <w:rPr>
          <w:rFonts w:cs="Times New Roman"/>
          <w:szCs w:val="20"/>
        </w:rPr>
        <w:fldChar w:fldCharType="begin"/>
      </w:r>
      <w:r w:rsidR="000F5156">
        <w:rPr>
          <w:rFonts w:cs="Times New Roman"/>
          <w:szCs w:val="20"/>
        </w:rPr>
        <w:instrText xml:space="preserve"> REF _Ref531339627 \r \h </w:instrText>
      </w:r>
      <w:r w:rsidR="000F5156">
        <w:rPr>
          <w:rFonts w:cs="Times New Roman"/>
          <w:szCs w:val="20"/>
        </w:rPr>
      </w:r>
      <w:r w:rsidR="000F5156">
        <w:rPr>
          <w:rFonts w:cs="Times New Roman"/>
          <w:szCs w:val="20"/>
        </w:rPr>
        <w:fldChar w:fldCharType="separate"/>
      </w:r>
      <w:r w:rsidR="00882805">
        <w:rPr>
          <w:rFonts w:cs="Times New Roman"/>
          <w:szCs w:val="20"/>
        </w:rPr>
        <w:t>4</w:t>
      </w:r>
      <w:r w:rsidR="000F5156">
        <w:rPr>
          <w:rFonts w:cs="Times New Roman"/>
          <w:szCs w:val="20"/>
        </w:rPr>
        <w:fldChar w:fldCharType="end"/>
      </w:r>
      <w:r w:rsidR="000F5156">
        <w:rPr>
          <w:rFonts w:cs="Times New Roman"/>
          <w:szCs w:val="20"/>
        </w:rPr>
        <w:t>)</w:t>
      </w:r>
      <w:r w:rsidRPr="00DC734F">
        <w:rPr>
          <w:rFonts w:cs="Times New Roman"/>
          <w:szCs w:val="20"/>
        </w:rPr>
        <w:t xml:space="preserve">, had </w:t>
      </w:r>
      <w:r w:rsidR="006838B6">
        <w:rPr>
          <w:rFonts w:cs="Times New Roman"/>
          <w:szCs w:val="20"/>
        </w:rPr>
        <w:t xml:space="preserve">de wetgever </w:t>
      </w:r>
      <w:r w:rsidRPr="00DC734F">
        <w:rPr>
          <w:rFonts w:cs="Times New Roman"/>
          <w:szCs w:val="20"/>
        </w:rPr>
        <w:t xml:space="preserve">wellicht ook moeten </w:t>
      </w:r>
      <w:r w:rsidR="006838B6">
        <w:rPr>
          <w:rFonts w:cs="Times New Roman"/>
          <w:szCs w:val="20"/>
        </w:rPr>
        <w:t>bepalen</w:t>
      </w:r>
      <w:r w:rsidRPr="00DC734F">
        <w:rPr>
          <w:rFonts w:cs="Times New Roman"/>
          <w:szCs w:val="20"/>
        </w:rPr>
        <w:t xml:space="preserve"> dat art</w:t>
      </w:r>
      <w:r w:rsidR="00C44129" w:rsidRPr="00DC734F">
        <w:rPr>
          <w:rFonts w:cs="Times New Roman"/>
          <w:szCs w:val="20"/>
        </w:rPr>
        <w:t>ikel</w:t>
      </w:r>
      <w:r w:rsidRPr="00DC734F">
        <w:rPr>
          <w:rFonts w:cs="Times New Roman"/>
          <w:szCs w:val="20"/>
        </w:rPr>
        <w:t xml:space="preserve"> 30</w:t>
      </w:r>
      <w:r w:rsidRPr="00DC734F">
        <w:rPr>
          <w:rFonts w:cs="Times New Roman"/>
          <w:i/>
          <w:szCs w:val="20"/>
        </w:rPr>
        <w:t>bis</w:t>
      </w:r>
      <w:r w:rsidRPr="00DC734F">
        <w:rPr>
          <w:rFonts w:cs="Times New Roman"/>
          <w:szCs w:val="20"/>
        </w:rPr>
        <w:t xml:space="preserve"> WFT maar geldt voor zover </w:t>
      </w:r>
      <w:r w:rsidR="00304E89">
        <w:rPr>
          <w:rFonts w:cs="Times New Roman"/>
          <w:szCs w:val="20"/>
        </w:rPr>
        <w:t>zijn</w:t>
      </w:r>
      <w:r w:rsidRPr="00DC734F">
        <w:rPr>
          <w:rFonts w:cs="Times New Roman"/>
          <w:szCs w:val="20"/>
        </w:rPr>
        <w:t xml:space="preserve"> toepassing niet in strijd is met het productinterventieregime van </w:t>
      </w:r>
      <w:r w:rsidR="003015AA">
        <w:rPr>
          <w:rFonts w:cs="Times New Roman"/>
          <w:szCs w:val="20"/>
        </w:rPr>
        <w:t xml:space="preserve">de </w:t>
      </w:r>
      <w:r w:rsidRPr="00DC734F">
        <w:rPr>
          <w:rFonts w:cs="Times New Roman"/>
          <w:szCs w:val="20"/>
        </w:rPr>
        <w:t>art</w:t>
      </w:r>
      <w:r w:rsidR="000C7C9F" w:rsidRPr="00DC734F">
        <w:rPr>
          <w:rFonts w:cs="Times New Roman"/>
          <w:szCs w:val="20"/>
        </w:rPr>
        <w:t>ikel</w:t>
      </w:r>
      <w:r w:rsidR="003015AA">
        <w:rPr>
          <w:rFonts w:cs="Times New Roman"/>
          <w:szCs w:val="20"/>
        </w:rPr>
        <w:t>en</w:t>
      </w:r>
      <w:r w:rsidRPr="00DC734F">
        <w:rPr>
          <w:rFonts w:cs="Times New Roman"/>
          <w:szCs w:val="20"/>
        </w:rPr>
        <w:t xml:space="preserve"> 16</w:t>
      </w:r>
      <w:r w:rsidR="00DE1140">
        <w:rPr>
          <w:rFonts w:cs="Times New Roman"/>
          <w:szCs w:val="20"/>
        </w:rPr>
        <w:t xml:space="preserve"> en 17</w:t>
      </w:r>
      <w:r w:rsidRPr="00DC734F">
        <w:rPr>
          <w:rFonts w:cs="Times New Roman"/>
          <w:szCs w:val="20"/>
        </w:rPr>
        <w:t xml:space="preserve"> PRIIPS.</w:t>
      </w:r>
      <w:r w:rsidR="000C7C9F" w:rsidRPr="00DC734F">
        <w:rPr>
          <w:rFonts w:cs="Times New Roman"/>
          <w:szCs w:val="20"/>
        </w:rPr>
        <w:t xml:space="preserve"> De </w:t>
      </w:r>
      <w:r w:rsidR="000C7C9F" w:rsidRPr="00DC734F">
        <w:rPr>
          <w:rFonts w:cs="Times New Roman"/>
          <w:i/>
          <w:szCs w:val="20"/>
        </w:rPr>
        <w:t>European Insurance and Occupational Pensions Authority</w:t>
      </w:r>
      <w:r w:rsidR="000C7C9F" w:rsidRPr="00DC734F">
        <w:rPr>
          <w:rFonts w:cs="Times New Roman"/>
          <w:szCs w:val="20"/>
        </w:rPr>
        <w:t xml:space="preserve"> (EIOPA)</w:t>
      </w:r>
      <w:r w:rsidR="006838B6">
        <w:rPr>
          <w:rFonts w:cs="Times New Roman"/>
          <w:szCs w:val="20"/>
        </w:rPr>
        <w:t>,</w:t>
      </w:r>
      <w:r w:rsidR="000C7C9F" w:rsidRPr="00DC734F">
        <w:rPr>
          <w:rFonts w:cs="Times New Roman"/>
          <w:szCs w:val="20"/>
        </w:rPr>
        <w:t xml:space="preserve"> </w:t>
      </w:r>
      <w:r w:rsidR="00DE1140">
        <w:rPr>
          <w:rFonts w:cs="Times New Roman"/>
          <w:szCs w:val="20"/>
        </w:rPr>
        <w:t>dan wel een nationale toezichthouder kunnen</w:t>
      </w:r>
      <w:r w:rsidR="00C44129" w:rsidRPr="00DC734F">
        <w:rPr>
          <w:rFonts w:cs="Times New Roman"/>
          <w:szCs w:val="20"/>
        </w:rPr>
        <w:t xml:space="preserve"> het op de markt brengen, distribueren of verkopen van verzekeringsgebaseerde beleggingsproducten of een soort financiële activiteit of praktijk van een verzekerings- of herverzekeringsonderneming </w:t>
      </w:r>
      <w:r w:rsidR="005418E8" w:rsidRPr="00DC734F">
        <w:rPr>
          <w:rFonts w:cs="Times New Roman"/>
          <w:szCs w:val="20"/>
        </w:rPr>
        <w:t xml:space="preserve">immers </w:t>
      </w:r>
      <w:r w:rsidR="00C44129" w:rsidRPr="00DC734F">
        <w:rPr>
          <w:rFonts w:cs="Times New Roman"/>
          <w:szCs w:val="20"/>
        </w:rPr>
        <w:t>verbieden of beperken.</w:t>
      </w:r>
      <w:r w:rsidRPr="00DC734F">
        <w:rPr>
          <w:rFonts w:cs="Times New Roman"/>
          <w:szCs w:val="20"/>
        </w:rPr>
        <w:t xml:space="preserve"> Bij de bespreking die hieronder volgt zal </w:t>
      </w:r>
      <w:r w:rsidR="00F57C6E" w:rsidRPr="00DC734F">
        <w:rPr>
          <w:rFonts w:cs="Times New Roman"/>
          <w:szCs w:val="20"/>
        </w:rPr>
        <w:t xml:space="preserve">per bevoegdheid </w:t>
      </w:r>
      <w:r w:rsidRPr="00DC734F">
        <w:rPr>
          <w:rFonts w:cs="Times New Roman"/>
          <w:szCs w:val="20"/>
        </w:rPr>
        <w:t xml:space="preserve">op de verhouding met </w:t>
      </w:r>
      <w:r w:rsidR="00DE1140">
        <w:rPr>
          <w:rFonts w:cs="Times New Roman"/>
          <w:szCs w:val="20"/>
        </w:rPr>
        <w:t>beide</w:t>
      </w:r>
      <w:r w:rsidRPr="00DC734F">
        <w:rPr>
          <w:rFonts w:cs="Times New Roman"/>
          <w:szCs w:val="20"/>
        </w:rPr>
        <w:t xml:space="preserve"> Europeesrechtelijk regime</w:t>
      </w:r>
      <w:r w:rsidR="00253E6B" w:rsidRPr="00DC734F">
        <w:rPr>
          <w:rFonts w:cs="Times New Roman"/>
          <w:szCs w:val="20"/>
        </w:rPr>
        <w:t>s</w:t>
      </w:r>
      <w:r w:rsidRPr="00DC734F">
        <w:rPr>
          <w:rFonts w:cs="Times New Roman"/>
          <w:szCs w:val="20"/>
        </w:rPr>
        <w:t xml:space="preserve"> nog worden te</w:t>
      </w:r>
      <w:r w:rsidR="0007006A">
        <w:rPr>
          <w:rFonts w:cs="Times New Roman"/>
          <w:szCs w:val="20"/>
        </w:rPr>
        <w:softHyphen/>
      </w:r>
      <w:r w:rsidRPr="00DC734F">
        <w:rPr>
          <w:rFonts w:cs="Times New Roman"/>
          <w:szCs w:val="20"/>
        </w:rPr>
        <w:t>ruggekomen.</w:t>
      </w:r>
      <w:bookmarkEnd w:id="2"/>
      <w:bookmarkEnd w:id="3"/>
    </w:p>
    <w:p w:rsidR="00E74ADA" w:rsidRPr="005F2C7D" w:rsidRDefault="00460C3F" w:rsidP="00253E6B">
      <w:pPr>
        <w:pStyle w:val="Lijstalinea"/>
        <w:numPr>
          <w:ilvl w:val="0"/>
          <w:numId w:val="3"/>
        </w:numPr>
        <w:spacing w:line="276" w:lineRule="auto"/>
        <w:rPr>
          <w:rFonts w:cs="Times New Roman"/>
          <w:szCs w:val="20"/>
        </w:rPr>
      </w:pPr>
      <w:r w:rsidRPr="00460C3F">
        <w:rPr>
          <w:rFonts w:cs="Times New Roman"/>
          <w:i/>
          <w:szCs w:val="20"/>
        </w:rPr>
        <w:t>De bevoegdheden van de minister van Economie</w:t>
      </w:r>
      <w:r>
        <w:rPr>
          <w:rFonts w:cs="Times New Roman"/>
          <w:szCs w:val="20"/>
        </w:rPr>
        <w:t xml:space="preserve"> </w:t>
      </w:r>
      <w:r w:rsidRPr="00485497">
        <w:rPr>
          <w:rFonts w:cs="Times New Roman"/>
          <w:szCs w:val="20"/>
        </w:rPr>
        <w:t>‒</w:t>
      </w:r>
      <w:r>
        <w:rPr>
          <w:rFonts w:cs="Times New Roman"/>
          <w:szCs w:val="20"/>
        </w:rPr>
        <w:t xml:space="preserve"> </w:t>
      </w:r>
      <w:r w:rsidR="000C7258">
        <w:rPr>
          <w:rFonts w:cs="Times New Roman"/>
          <w:szCs w:val="20"/>
        </w:rPr>
        <w:t xml:space="preserve">Tot slot heeft het artikel geen impact op </w:t>
      </w:r>
      <w:r w:rsidR="00134882" w:rsidRPr="00134882">
        <w:rPr>
          <w:rFonts w:cs="Times New Roman"/>
          <w:szCs w:val="20"/>
        </w:rPr>
        <w:t>“</w:t>
      </w:r>
      <w:r w:rsidR="00134882" w:rsidRPr="00134882">
        <w:rPr>
          <w:rFonts w:cs="Times New Roman"/>
          <w:bCs/>
          <w:i/>
          <w:szCs w:val="20"/>
        </w:rPr>
        <w:t>de bevoegdheden van de minister die de Economie onder zijn bevoegdheden heeft</w:t>
      </w:r>
      <w:r w:rsidR="00134882" w:rsidRPr="00134882">
        <w:rPr>
          <w:rFonts w:cs="Times New Roman"/>
          <w:bCs/>
          <w:szCs w:val="20"/>
        </w:rPr>
        <w:t>”</w:t>
      </w:r>
      <w:r w:rsidR="00A33CD2">
        <w:rPr>
          <w:rStyle w:val="Voetnootmarkering"/>
          <w:rFonts w:cs="Times New Roman"/>
          <w:szCs w:val="20"/>
        </w:rPr>
        <w:footnoteReference w:id="19"/>
      </w:r>
      <w:r w:rsidR="000C7258">
        <w:rPr>
          <w:rFonts w:cs="Times New Roman"/>
          <w:szCs w:val="20"/>
        </w:rPr>
        <w:t>.</w:t>
      </w:r>
      <w:r w:rsidR="00134882">
        <w:rPr>
          <w:rFonts w:cs="Times New Roman"/>
          <w:szCs w:val="20"/>
        </w:rPr>
        <w:t xml:space="preserve"> </w:t>
      </w:r>
      <w:r w:rsidR="006F2219">
        <w:rPr>
          <w:rFonts w:cs="Times New Roman"/>
          <w:szCs w:val="20"/>
        </w:rPr>
        <w:t>De memorie van toelichting biedt geen ver</w:t>
      </w:r>
      <w:r w:rsidR="0007006A">
        <w:rPr>
          <w:rFonts w:cs="Times New Roman"/>
          <w:szCs w:val="20"/>
        </w:rPr>
        <w:softHyphen/>
      </w:r>
      <w:r w:rsidR="006F2219">
        <w:rPr>
          <w:rFonts w:cs="Times New Roman"/>
          <w:szCs w:val="20"/>
        </w:rPr>
        <w:t xml:space="preserve">duidelijking </w:t>
      </w:r>
      <w:r w:rsidR="00DC734F">
        <w:rPr>
          <w:rFonts w:cs="Times New Roman"/>
          <w:szCs w:val="20"/>
        </w:rPr>
        <w:t>welke</w:t>
      </w:r>
      <w:r w:rsidR="006F2219">
        <w:rPr>
          <w:rFonts w:cs="Times New Roman"/>
          <w:szCs w:val="20"/>
        </w:rPr>
        <w:t xml:space="preserve"> bevoegdheden hieronder kunnen worden verstaan</w:t>
      </w:r>
      <w:r w:rsidR="003117AE">
        <w:rPr>
          <w:rFonts w:cs="Times New Roman"/>
          <w:szCs w:val="20"/>
        </w:rPr>
        <w:t xml:space="preserve">. Dit </w:t>
      </w:r>
      <w:r w:rsidR="00DC734F">
        <w:rPr>
          <w:rFonts w:cs="Times New Roman"/>
          <w:szCs w:val="20"/>
        </w:rPr>
        <w:t>zouden</w:t>
      </w:r>
      <w:r w:rsidR="003117AE">
        <w:rPr>
          <w:rFonts w:cs="Times New Roman"/>
          <w:szCs w:val="20"/>
        </w:rPr>
        <w:t xml:space="preserve"> </w:t>
      </w:r>
      <w:r w:rsidR="00C44129">
        <w:rPr>
          <w:rFonts w:cs="Times New Roman"/>
          <w:szCs w:val="20"/>
        </w:rPr>
        <w:t>diens</w:t>
      </w:r>
      <w:r w:rsidR="002C70DC">
        <w:rPr>
          <w:rFonts w:cs="Times New Roman"/>
          <w:szCs w:val="20"/>
        </w:rPr>
        <w:t xml:space="preserve"> bevoegdhe</w:t>
      </w:r>
      <w:r w:rsidR="009110DF">
        <w:rPr>
          <w:rFonts w:cs="Times New Roman"/>
          <w:szCs w:val="20"/>
        </w:rPr>
        <w:t>den</w:t>
      </w:r>
      <w:r w:rsidR="002C70DC">
        <w:rPr>
          <w:rFonts w:cs="Times New Roman"/>
          <w:szCs w:val="20"/>
        </w:rPr>
        <w:t xml:space="preserve"> </w:t>
      </w:r>
      <w:r w:rsidR="009110DF">
        <w:rPr>
          <w:rFonts w:cs="Times New Roman"/>
          <w:szCs w:val="20"/>
        </w:rPr>
        <w:t xml:space="preserve">binnen de Wet Financieel Toezicht </w:t>
      </w:r>
      <w:r w:rsidR="003117AE">
        <w:rPr>
          <w:rFonts w:cs="Times New Roman"/>
          <w:szCs w:val="20"/>
        </w:rPr>
        <w:t>zelf</w:t>
      </w:r>
      <w:r w:rsidR="00DC734F">
        <w:rPr>
          <w:rFonts w:cs="Times New Roman"/>
          <w:szCs w:val="20"/>
        </w:rPr>
        <w:t xml:space="preserve"> kunnen</w:t>
      </w:r>
      <w:r w:rsidR="003117AE">
        <w:rPr>
          <w:rFonts w:cs="Times New Roman"/>
          <w:szCs w:val="20"/>
        </w:rPr>
        <w:t xml:space="preserve"> zijn </w:t>
      </w:r>
      <w:r w:rsidR="002C70DC">
        <w:rPr>
          <w:rFonts w:cs="Times New Roman"/>
          <w:szCs w:val="20"/>
        </w:rPr>
        <w:t>om op eigen voorstel een reglement in te voeren</w:t>
      </w:r>
      <w:r w:rsidR="001502B8">
        <w:rPr>
          <w:rStyle w:val="Voetnootmarkering"/>
          <w:rFonts w:cs="Times New Roman"/>
          <w:szCs w:val="20"/>
        </w:rPr>
        <w:footnoteReference w:id="20"/>
      </w:r>
      <w:r w:rsidR="002C70DC">
        <w:rPr>
          <w:rFonts w:cs="Times New Roman"/>
          <w:szCs w:val="20"/>
        </w:rPr>
        <w:t xml:space="preserve"> </w:t>
      </w:r>
      <w:r w:rsidR="001502B8">
        <w:rPr>
          <w:rFonts w:cs="Times New Roman"/>
          <w:szCs w:val="20"/>
        </w:rPr>
        <w:t>of een stakingsvorde</w:t>
      </w:r>
      <w:r w:rsidR="0007006A">
        <w:rPr>
          <w:rFonts w:cs="Times New Roman"/>
          <w:szCs w:val="20"/>
        </w:rPr>
        <w:softHyphen/>
      </w:r>
      <w:r w:rsidR="001502B8">
        <w:rPr>
          <w:rFonts w:cs="Times New Roman"/>
          <w:szCs w:val="20"/>
        </w:rPr>
        <w:t>ring in te stellen</w:t>
      </w:r>
      <w:r w:rsidR="001502B8">
        <w:rPr>
          <w:rStyle w:val="Voetnootmarkering"/>
          <w:rFonts w:cs="Times New Roman"/>
          <w:szCs w:val="20"/>
        </w:rPr>
        <w:footnoteReference w:id="21"/>
      </w:r>
      <w:r w:rsidR="00DE1140">
        <w:rPr>
          <w:rFonts w:cs="Times New Roman"/>
          <w:szCs w:val="20"/>
        </w:rPr>
        <w:t>. A</w:t>
      </w:r>
      <w:r w:rsidR="001502B8">
        <w:rPr>
          <w:rFonts w:cs="Times New Roman"/>
          <w:szCs w:val="20"/>
        </w:rPr>
        <w:t>rt</w:t>
      </w:r>
      <w:r w:rsidR="00410BF9">
        <w:rPr>
          <w:rFonts w:cs="Times New Roman"/>
          <w:szCs w:val="20"/>
        </w:rPr>
        <w:t>ikel</w:t>
      </w:r>
      <w:r w:rsidR="001502B8">
        <w:rPr>
          <w:rFonts w:cs="Times New Roman"/>
          <w:szCs w:val="20"/>
        </w:rPr>
        <w:t xml:space="preserve"> 30</w:t>
      </w:r>
      <w:r w:rsidR="001502B8">
        <w:rPr>
          <w:rFonts w:cs="Times New Roman"/>
          <w:i/>
          <w:szCs w:val="20"/>
        </w:rPr>
        <w:t>bis</w:t>
      </w:r>
      <w:r w:rsidR="00DC734F">
        <w:rPr>
          <w:rFonts w:cs="Times New Roman"/>
          <w:szCs w:val="20"/>
        </w:rPr>
        <w:t xml:space="preserve"> WFT</w:t>
      </w:r>
      <w:r w:rsidR="00DE1140">
        <w:rPr>
          <w:rFonts w:cs="Times New Roman"/>
          <w:szCs w:val="20"/>
        </w:rPr>
        <w:t xml:space="preserve"> valt </w:t>
      </w:r>
      <w:r w:rsidR="009C35B3">
        <w:rPr>
          <w:rFonts w:cs="Times New Roman"/>
          <w:szCs w:val="20"/>
        </w:rPr>
        <w:t>evenwel</w:t>
      </w:r>
      <w:r w:rsidR="00DE1140">
        <w:rPr>
          <w:rFonts w:cs="Times New Roman"/>
          <w:szCs w:val="20"/>
        </w:rPr>
        <w:t xml:space="preserve"> buiten </w:t>
      </w:r>
      <w:r w:rsidR="002E0B56">
        <w:rPr>
          <w:rFonts w:cs="Times New Roman"/>
          <w:szCs w:val="20"/>
        </w:rPr>
        <w:t>het</w:t>
      </w:r>
      <w:r w:rsidR="00DE1140">
        <w:rPr>
          <w:rFonts w:cs="Times New Roman"/>
          <w:szCs w:val="20"/>
        </w:rPr>
        <w:t xml:space="preserve"> toepassingsgebied</w:t>
      </w:r>
      <w:r w:rsidR="002E0B56">
        <w:rPr>
          <w:rFonts w:cs="Times New Roman"/>
          <w:szCs w:val="20"/>
        </w:rPr>
        <w:t xml:space="preserve"> van deze</w:t>
      </w:r>
      <w:r w:rsidR="001502B8">
        <w:rPr>
          <w:rFonts w:cs="Times New Roman"/>
          <w:szCs w:val="20"/>
        </w:rPr>
        <w:t xml:space="preserve">. </w:t>
      </w:r>
      <w:r w:rsidR="00DE1140">
        <w:rPr>
          <w:rFonts w:cs="Times New Roman"/>
          <w:szCs w:val="20"/>
        </w:rPr>
        <w:t>D</w:t>
      </w:r>
      <w:r w:rsidR="009110DF">
        <w:rPr>
          <w:rFonts w:cs="Times New Roman"/>
          <w:szCs w:val="20"/>
        </w:rPr>
        <w:t>e minister van Eco</w:t>
      </w:r>
      <w:r w:rsidR="0007006A">
        <w:rPr>
          <w:rFonts w:cs="Times New Roman"/>
          <w:szCs w:val="20"/>
        </w:rPr>
        <w:softHyphen/>
      </w:r>
      <w:r w:rsidR="009110DF">
        <w:rPr>
          <w:rFonts w:cs="Times New Roman"/>
          <w:szCs w:val="20"/>
        </w:rPr>
        <w:t xml:space="preserve">nomie </w:t>
      </w:r>
      <w:r w:rsidR="00DE1140">
        <w:rPr>
          <w:rFonts w:cs="Times New Roman"/>
          <w:szCs w:val="20"/>
        </w:rPr>
        <w:t xml:space="preserve">beschikt daarnaast </w:t>
      </w:r>
      <w:r w:rsidR="009110DF">
        <w:rPr>
          <w:rFonts w:cs="Times New Roman"/>
          <w:szCs w:val="20"/>
        </w:rPr>
        <w:t>over ruime toezichtsbevoegdheden in</w:t>
      </w:r>
      <w:r w:rsidR="00827931">
        <w:rPr>
          <w:rFonts w:cs="Times New Roman"/>
          <w:szCs w:val="20"/>
        </w:rPr>
        <w:t>gevolge</w:t>
      </w:r>
      <w:r w:rsidR="009110DF">
        <w:rPr>
          <w:rFonts w:cs="Times New Roman"/>
          <w:szCs w:val="20"/>
        </w:rPr>
        <w:t xml:space="preserve"> Boek XV WER</w:t>
      </w:r>
      <w:r w:rsidR="006F2219">
        <w:rPr>
          <w:rStyle w:val="Voetnootmarkering"/>
          <w:rFonts w:cs="Times New Roman"/>
          <w:szCs w:val="20"/>
        </w:rPr>
        <w:footnoteReference w:id="22"/>
      </w:r>
      <w:r w:rsidR="00827931">
        <w:rPr>
          <w:rFonts w:cs="Times New Roman"/>
          <w:szCs w:val="20"/>
        </w:rPr>
        <w:t xml:space="preserve"> en de bevoegdheid om een stakingsvordering in te stellen ingevolge Boek XVII WER</w:t>
      </w:r>
      <w:r w:rsidR="00827931">
        <w:rPr>
          <w:rStyle w:val="Voetnootmarkering"/>
          <w:rFonts w:cs="Times New Roman"/>
          <w:szCs w:val="20"/>
        </w:rPr>
        <w:footnoteReference w:id="23"/>
      </w:r>
      <w:r w:rsidR="009110DF">
        <w:rPr>
          <w:rFonts w:cs="Times New Roman"/>
          <w:szCs w:val="20"/>
        </w:rPr>
        <w:t xml:space="preserve">. Wellicht moet de zinsnede </w:t>
      </w:r>
      <w:r w:rsidR="00827931">
        <w:rPr>
          <w:rFonts w:cs="Times New Roman"/>
          <w:szCs w:val="20"/>
        </w:rPr>
        <w:t xml:space="preserve">dan ook </w:t>
      </w:r>
      <w:r w:rsidR="009110DF">
        <w:rPr>
          <w:rFonts w:cs="Times New Roman"/>
          <w:szCs w:val="20"/>
        </w:rPr>
        <w:t xml:space="preserve">op die manier </w:t>
      </w:r>
      <w:r w:rsidR="0057213C">
        <w:rPr>
          <w:rFonts w:cs="Times New Roman"/>
          <w:szCs w:val="20"/>
        </w:rPr>
        <w:t xml:space="preserve">worden </w:t>
      </w:r>
      <w:r w:rsidR="009110DF">
        <w:rPr>
          <w:rFonts w:cs="Times New Roman"/>
          <w:szCs w:val="20"/>
        </w:rPr>
        <w:t>geïnterpreteerd</w:t>
      </w:r>
      <w:r w:rsidR="003117AE">
        <w:rPr>
          <w:rFonts w:cs="Times New Roman"/>
          <w:szCs w:val="20"/>
        </w:rPr>
        <w:t>: o</w:t>
      </w:r>
      <w:r w:rsidR="009110DF">
        <w:rPr>
          <w:rFonts w:cs="Times New Roman"/>
          <w:szCs w:val="20"/>
        </w:rPr>
        <w:t xml:space="preserve">ndanks het bestaan van bijvoorbeeld een reglement </w:t>
      </w:r>
      <w:r w:rsidR="0057213C">
        <w:rPr>
          <w:rFonts w:cs="Times New Roman"/>
          <w:szCs w:val="20"/>
        </w:rPr>
        <w:t>om (bepaalde) afnemers te bescher</w:t>
      </w:r>
      <w:r w:rsidR="0007006A">
        <w:rPr>
          <w:rFonts w:cs="Times New Roman"/>
          <w:szCs w:val="20"/>
        </w:rPr>
        <w:softHyphen/>
      </w:r>
      <w:r w:rsidR="0057213C">
        <w:rPr>
          <w:rFonts w:cs="Times New Roman"/>
          <w:szCs w:val="20"/>
        </w:rPr>
        <w:t>men</w:t>
      </w:r>
      <w:r w:rsidR="009110DF">
        <w:rPr>
          <w:rFonts w:cs="Times New Roman"/>
          <w:szCs w:val="20"/>
        </w:rPr>
        <w:t>, kunnen de door de minister van Economie</w:t>
      </w:r>
      <w:r w:rsidR="000A6A56">
        <w:rPr>
          <w:rStyle w:val="Voetnootmarkering"/>
          <w:rFonts w:cs="Times New Roman"/>
          <w:szCs w:val="20"/>
        </w:rPr>
        <w:footnoteReference w:id="24"/>
      </w:r>
      <w:r w:rsidR="009110DF">
        <w:rPr>
          <w:rFonts w:cs="Times New Roman"/>
          <w:szCs w:val="20"/>
        </w:rPr>
        <w:t xml:space="preserve"> aangestelde ambtenaren nog </w:t>
      </w:r>
      <w:r w:rsidR="0057213C">
        <w:rPr>
          <w:rFonts w:cs="Times New Roman"/>
          <w:szCs w:val="20"/>
        </w:rPr>
        <w:t xml:space="preserve">steeds </w:t>
      </w:r>
      <w:r w:rsidR="009110DF">
        <w:rPr>
          <w:rFonts w:cs="Times New Roman"/>
          <w:szCs w:val="20"/>
        </w:rPr>
        <w:t>een inbreuk opsporen en vaststellen op een van de bepalingen v</w:t>
      </w:r>
      <w:r w:rsidR="00827931">
        <w:rPr>
          <w:rFonts w:cs="Times New Roman"/>
          <w:szCs w:val="20"/>
        </w:rPr>
        <w:t>an het Wetboek Economisch Recht</w:t>
      </w:r>
      <w:r w:rsidR="00FD171C">
        <w:rPr>
          <w:rFonts w:cs="Times New Roman"/>
          <w:szCs w:val="20"/>
        </w:rPr>
        <w:t>.</w:t>
      </w:r>
      <w:r w:rsidR="00DC734F">
        <w:rPr>
          <w:rStyle w:val="Voetnootmarkering"/>
          <w:rFonts w:cs="Times New Roman"/>
          <w:szCs w:val="20"/>
        </w:rPr>
        <w:footnoteReference w:id="25"/>
      </w:r>
      <w:r w:rsidR="003117AE">
        <w:rPr>
          <w:rFonts w:cs="Times New Roman"/>
          <w:szCs w:val="20"/>
        </w:rPr>
        <w:t xml:space="preserve"> De vraag stelt zich hierbij of dezelfde ambtenaren een inbreuk op een van deze reglementen</w:t>
      </w:r>
      <w:r w:rsidR="006B0A08">
        <w:rPr>
          <w:rFonts w:cs="Times New Roman"/>
          <w:szCs w:val="20"/>
        </w:rPr>
        <w:t xml:space="preserve"> </w:t>
      </w:r>
      <w:r w:rsidR="003117AE">
        <w:rPr>
          <w:rFonts w:cs="Times New Roman"/>
          <w:szCs w:val="20"/>
        </w:rPr>
        <w:t>mogen</w:t>
      </w:r>
      <w:r w:rsidR="000A6A56">
        <w:rPr>
          <w:rFonts w:cs="Times New Roman"/>
          <w:szCs w:val="20"/>
        </w:rPr>
        <w:t xml:space="preserve"> vaststellen en</w:t>
      </w:r>
      <w:r w:rsidR="003117AE">
        <w:rPr>
          <w:rFonts w:cs="Times New Roman"/>
          <w:szCs w:val="20"/>
        </w:rPr>
        <w:t xml:space="preserve"> </w:t>
      </w:r>
      <w:r w:rsidR="000A6A56">
        <w:rPr>
          <w:rFonts w:cs="Times New Roman"/>
          <w:szCs w:val="20"/>
        </w:rPr>
        <w:t>sanctioneren</w:t>
      </w:r>
      <w:r w:rsidR="003117AE">
        <w:rPr>
          <w:rFonts w:cs="Times New Roman"/>
          <w:szCs w:val="20"/>
        </w:rPr>
        <w:t>.</w:t>
      </w:r>
      <w:r w:rsidR="0094022E">
        <w:rPr>
          <w:rFonts w:cs="Times New Roman"/>
          <w:szCs w:val="20"/>
        </w:rPr>
        <w:t xml:space="preserve"> Art</w:t>
      </w:r>
      <w:r w:rsidR="00BB600C">
        <w:rPr>
          <w:rFonts w:cs="Times New Roman"/>
          <w:szCs w:val="20"/>
        </w:rPr>
        <w:t>ikel</w:t>
      </w:r>
      <w:r w:rsidR="0094022E">
        <w:rPr>
          <w:rFonts w:cs="Times New Roman"/>
          <w:szCs w:val="20"/>
        </w:rPr>
        <w:t xml:space="preserve"> XV.2 WER geeft </w:t>
      </w:r>
      <w:r w:rsidR="001D7CA8">
        <w:rPr>
          <w:rFonts w:cs="Times New Roman"/>
          <w:szCs w:val="20"/>
        </w:rPr>
        <w:t>hen</w:t>
      </w:r>
      <w:r w:rsidR="0094022E">
        <w:rPr>
          <w:rFonts w:cs="Times New Roman"/>
          <w:szCs w:val="20"/>
        </w:rPr>
        <w:t xml:space="preserve"> immers enkel de bevoegdheid om de inbreuken op het WER en </w:t>
      </w:r>
      <w:r w:rsidR="00304E89">
        <w:rPr>
          <w:rFonts w:cs="Times New Roman"/>
          <w:szCs w:val="20"/>
        </w:rPr>
        <w:t>zijn</w:t>
      </w:r>
      <w:r w:rsidR="0094022E">
        <w:rPr>
          <w:rFonts w:cs="Times New Roman"/>
          <w:szCs w:val="20"/>
        </w:rPr>
        <w:t xml:space="preserve"> uitvoeringsbesluiten</w:t>
      </w:r>
      <w:r w:rsidR="0034743F">
        <w:rPr>
          <w:rFonts w:cs="Times New Roman"/>
          <w:szCs w:val="20"/>
        </w:rPr>
        <w:t xml:space="preserve"> op</w:t>
      </w:r>
      <w:r w:rsidR="000A6A56">
        <w:rPr>
          <w:rFonts w:cs="Times New Roman"/>
          <w:szCs w:val="20"/>
        </w:rPr>
        <w:t xml:space="preserve"> te sporen en</w:t>
      </w:r>
      <w:r w:rsidR="0094022E">
        <w:rPr>
          <w:rFonts w:cs="Times New Roman"/>
          <w:szCs w:val="20"/>
        </w:rPr>
        <w:t xml:space="preserve"> vast te stellen. </w:t>
      </w:r>
      <w:r w:rsidR="00AA4F06">
        <w:rPr>
          <w:rFonts w:cs="Times New Roman"/>
          <w:szCs w:val="20"/>
        </w:rPr>
        <w:t>Wel</w:t>
      </w:r>
      <w:r w:rsidR="0094022E">
        <w:rPr>
          <w:rFonts w:cs="Times New Roman"/>
          <w:szCs w:val="20"/>
        </w:rPr>
        <w:t xml:space="preserve">licht kunnen </w:t>
      </w:r>
      <w:r w:rsidR="0057213C">
        <w:rPr>
          <w:rFonts w:cs="Times New Roman"/>
          <w:szCs w:val="20"/>
        </w:rPr>
        <w:t>zij</w:t>
      </w:r>
      <w:r w:rsidR="0094022E">
        <w:rPr>
          <w:rFonts w:cs="Times New Roman"/>
          <w:szCs w:val="20"/>
        </w:rPr>
        <w:t xml:space="preserve"> de FSMA informeren over het bestaan van een inbreuk op het betrokken reglement</w:t>
      </w:r>
      <w:r w:rsidR="006B0A08">
        <w:rPr>
          <w:rFonts w:cs="Times New Roman"/>
          <w:szCs w:val="20"/>
        </w:rPr>
        <w:t xml:space="preserve"> of </w:t>
      </w:r>
      <w:r w:rsidR="001D7CA8">
        <w:rPr>
          <w:rFonts w:cs="Times New Roman"/>
          <w:szCs w:val="20"/>
        </w:rPr>
        <w:t>de</w:t>
      </w:r>
      <w:r w:rsidR="006B0A08">
        <w:rPr>
          <w:rFonts w:cs="Times New Roman"/>
          <w:szCs w:val="20"/>
        </w:rPr>
        <w:t xml:space="preserve"> </w:t>
      </w:r>
      <w:r w:rsidR="00DE1140">
        <w:rPr>
          <w:rFonts w:cs="Times New Roman"/>
          <w:szCs w:val="20"/>
        </w:rPr>
        <w:t>medewerkers</w:t>
      </w:r>
      <w:r w:rsidR="006B0A08">
        <w:rPr>
          <w:rFonts w:cs="Times New Roman"/>
          <w:szCs w:val="20"/>
        </w:rPr>
        <w:t xml:space="preserve"> van de FSMA </w:t>
      </w:r>
      <w:r w:rsidR="00781F5A">
        <w:rPr>
          <w:rFonts w:cs="Times New Roman"/>
          <w:szCs w:val="20"/>
        </w:rPr>
        <w:t xml:space="preserve">hen laten </w:t>
      </w:r>
      <w:r w:rsidR="006B0A08">
        <w:rPr>
          <w:rFonts w:cs="Times New Roman"/>
          <w:szCs w:val="20"/>
        </w:rPr>
        <w:t>vergezellen om de betrokken inbreuk vast te stellen.</w:t>
      </w:r>
      <w:r w:rsidR="006B0A08">
        <w:rPr>
          <w:rStyle w:val="Voetnootmarkering"/>
          <w:rFonts w:cs="Times New Roman"/>
          <w:szCs w:val="20"/>
        </w:rPr>
        <w:footnoteReference w:id="26"/>
      </w:r>
      <w:r w:rsidR="00970212">
        <w:rPr>
          <w:rFonts w:cs="Times New Roman"/>
          <w:szCs w:val="20"/>
        </w:rPr>
        <w:t xml:space="preserve"> Daarnaast kun</w:t>
      </w:r>
      <w:r w:rsidR="0007006A">
        <w:rPr>
          <w:rFonts w:cs="Times New Roman"/>
          <w:szCs w:val="20"/>
        </w:rPr>
        <w:softHyphen/>
      </w:r>
      <w:r w:rsidR="00970212">
        <w:rPr>
          <w:rFonts w:cs="Times New Roman"/>
          <w:szCs w:val="20"/>
        </w:rPr>
        <w:t xml:space="preserve">nen zij de schending van een reglement </w:t>
      </w:r>
      <w:r w:rsidR="00411927">
        <w:rPr>
          <w:rFonts w:cs="Times New Roman"/>
          <w:szCs w:val="20"/>
        </w:rPr>
        <w:t xml:space="preserve">ook </w:t>
      </w:r>
      <w:r w:rsidR="00970212">
        <w:rPr>
          <w:rFonts w:cs="Times New Roman"/>
          <w:szCs w:val="20"/>
        </w:rPr>
        <w:t>beschouwen als een misleidende handelspraktijk</w:t>
      </w:r>
      <w:r w:rsidR="001E5749">
        <w:rPr>
          <w:rStyle w:val="Voetnootmarkering"/>
          <w:rFonts w:cs="Times New Roman"/>
          <w:szCs w:val="20"/>
        </w:rPr>
        <w:footnoteReference w:id="27"/>
      </w:r>
      <w:r w:rsidR="001E5749">
        <w:rPr>
          <w:rFonts w:cs="Times New Roman"/>
          <w:szCs w:val="20"/>
        </w:rPr>
        <w:t xml:space="preserve"> en op die wijze de inbreuk zelf sanctioneren. De controle op de naleving van dergelijke reglementen valt echter onder de kerntaken van de FSMA en de actieve opvolging door de diensten</w:t>
      </w:r>
      <w:r w:rsidR="00440820">
        <w:rPr>
          <w:rFonts w:cs="Times New Roman"/>
          <w:szCs w:val="20"/>
        </w:rPr>
        <w:t xml:space="preserve"> onder de minister van Economie</w:t>
      </w:r>
      <w:r w:rsidR="001E5749">
        <w:rPr>
          <w:rFonts w:cs="Times New Roman"/>
          <w:szCs w:val="20"/>
        </w:rPr>
        <w:t xml:space="preserve"> lijkt daarom ook uitge</w:t>
      </w:r>
      <w:r w:rsidR="0007006A">
        <w:rPr>
          <w:rFonts w:cs="Times New Roman"/>
          <w:szCs w:val="20"/>
        </w:rPr>
        <w:softHyphen/>
      </w:r>
      <w:r w:rsidR="001E5749">
        <w:rPr>
          <w:rFonts w:cs="Times New Roman"/>
          <w:szCs w:val="20"/>
        </w:rPr>
        <w:t>sloten.</w:t>
      </w:r>
      <w:r w:rsidR="00386AD9">
        <w:rPr>
          <w:rFonts w:cs="Times New Roman"/>
          <w:szCs w:val="20"/>
        </w:rPr>
        <w:t xml:space="preserve"> </w:t>
      </w:r>
      <w:r w:rsidR="00440820">
        <w:rPr>
          <w:rFonts w:cs="Times New Roman"/>
          <w:szCs w:val="20"/>
        </w:rPr>
        <w:t xml:space="preserve">Niettemin is de incidentele vaststelling en daaropvolgende sanctionering door deze diensten </w:t>
      </w:r>
      <w:r w:rsidR="008B2EBA">
        <w:rPr>
          <w:rFonts w:cs="Times New Roman"/>
          <w:szCs w:val="20"/>
        </w:rPr>
        <w:t>in theorie wel mogelijk</w:t>
      </w:r>
      <w:r w:rsidR="00440820">
        <w:rPr>
          <w:rFonts w:cs="Times New Roman"/>
          <w:szCs w:val="20"/>
        </w:rPr>
        <w:t xml:space="preserve">. </w:t>
      </w:r>
      <w:r w:rsidR="00386AD9">
        <w:rPr>
          <w:rFonts w:cs="Times New Roman"/>
          <w:szCs w:val="20"/>
        </w:rPr>
        <w:t>De FSMA kan daarentegen wel inbreuken op het WER</w:t>
      </w:r>
      <w:r w:rsidR="00970212">
        <w:rPr>
          <w:rFonts w:cs="Times New Roman"/>
          <w:szCs w:val="20"/>
        </w:rPr>
        <w:t xml:space="preserve"> rechtstreeks</w:t>
      </w:r>
      <w:r w:rsidR="00386AD9">
        <w:rPr>
          <w:rFonts w:cs="Times New Roman"/>
          <w:szCs w:val="20"/>
        </w:rPr>
        <w:t xml:space="preserve"> vaststellen en sanctioneren.</w:t>
      </w:r>
      <w:r w:rsidR="00386AD9">
        <w:rPr>
          <w:rStyle w:val="Voetnootmarkering"/>
          <w:rFonts w:cs="Times New Roman"/>
          <w:szCs w:val="20"/>
        </w:rPr>
        <w:footnoteReference w:id="28"/>
      </w:r>
      <w:r w:rsidR="00BE07AE">
        <w:rPr>
          <w:rFonts w:cs="Times New Roman"/>
          <w:szCs w:val="20"/>
        </w:rPr>
        <w:t xml:space="preserve"> I</w:t>
      </w:r>
      <w:r w:rsidR="00386AD9">
        <w:rPr>
          <w:rFonts w:cs="Times New Roman"/>
          <w:szCs w:val="20"/>
        </w:rPr>
        <w:t xml:space="preserve">ndien </w:t>
      </w:r>
      <w:r w:rsidR="00386AD9">
        <w:rPr>
          <w:rFonts w:cs="Times New Roman"/>
          <w:szCs w:val="20"/>
        </w:rPr>
        <w:lastRenderedPageBreak/>
        <w:t>zij tijdens de controle op de naleving van een reglement een inbreuk vaststelt op bijvoorbeeld het gemeen consu</w:t>
      </w:r>
      <w:r w:rsidR="0007006A">
        <w:rPr>
          <w:rFonts w:cs="Times New Roman"/>
          <w:szCs w:val="20"/>
        </w:rPr>
        <w:softHyphen/>
      </w:r>
      <w:r w:rsidR="00386AD9">
        <w:rPr>
          <w:rFonts w:cs="Times New Roman"/>
          <w:szCs w:val="20"/>
        </w:rPr>
        <w:t xml:space="preserve">mentenrecht van Boek VI, dan kan </w:t>
      </w:r>
      <w:r w:rsidR="00931E51">
        <w:rPr>
          <w:rFonts w:cs="Times New Roman"/>
          <w:szCs w:val="20"/>
        </w:rPr>
        <w:t>ze</w:t>
      </w:r>
      <w:r w:rsidR="00386AD9">
        <w:rPr>
          <w:rFonts w:cs="Times New Roman"/>
          <w:szCs w:val="20"/>
        </w:rPr>
        <w:t xml:space="preserve"> zelfstandig overgaan tot de sanctionering van dezelfde rech</w:t>
      </w:r>
      <w:r w:rsidR="00DC734F">
        <w:rPr>
          <w:rFonts w:cs="Times New Roman"/>
          <w:szCs w:val="20"/>
        </w:rPr>
        <w:t>tsregels.</w:t>
      </w:r>
    </w:p>
    <w:p w:rsidR="00DA03CC" w:rsidRPr="00EE642C" w:rsidRDefault="00222244" w:rsidP="00253E6B">
      <w:pPr>
        <w:spacing w:line="276" w:lineRule="auto"/>
        <w:rPr>
          <w:rFonts w:cs="Times New Roman"/>
          <w:b/>
          <w:szCs w:val="20"/>
        </w:rPr>
      </w:pPr>
      <w:r w:rsidRPr="00222244">
        <w:rPr>
          <w:rFonts w:cs="Times New Roman"/>
          <w:b/>
          <w:szCs w:val="20"/>
        </w:rPr>
        <w:t>II</w:t>
      </w:r>
      <w:r w:rsidR="00E74ADA">
        <w:rPr>
          <w:rFonts w:cs="Times New Roman"/>
          <w:b/>
          <w:szCs w:val="20"/>
        </w:rPr>
        <w:t>I</w:t>
      </w:r>
      <w:r w:rsidRPr="00222244">
        <w:rPr>
          <w:rFonts w:cs="Times New Roman"/>
          <w:b/>
          <w:szCs w:val="20"/>
        </w:rPr>
        <w:t>. D</w:t>
      </w:r>
      <w:r w:rsidR="00CA10A0">
        <w:rPr>
          <w:rFonts w:cs="Times New Roman"/>
          <w:b/>
          <w:szCs w:val="20"/>
        </w:rPr>
        <w:t>e d</w:t>
      </w:r>
      <w:r w:rsidRPr="00222244">
        <w:rPr>
          <w:rFonts w:cs="Times New Roman"/>
          <w:b/>
          <w:szCs w:val="20"/>
        </w:rPr>
        <w:t>rie bevoegdheden</w:t>
      </w:r>
      <w:r w:rsidR="00DE1140">
        <w:rPr>
          <w:rFonts w:cs="Times New Roman"/>
          <w:b/>
          <w:szCs w:val="20"/>
        </w:rPr>
        <w:t xml:space="preserve"> van artikel 30</w:t>
      </w:r>
      <w:r w:rsidR="00DE1140" w:rsidRPr="00DE1140">
        <w:rPr>
          <w:rFonts w:cs="Times New Roman"/>
          <w:b/>
          <w:i/>
          <w:szCs w:val="20"/>
        </w:rPr>
        <w:t>bis</w:t>
      </w:r>
      <w:r w:rsidR="00EE642C">
        <w:rPr>
          <w:rFonts w:cs="Times New Roman"/>
          <w:b/>
          <w:szCs w:val="20"/>
        </w:rPr>
        <w:t xml:space="preserve"> WFT</w:t>
      </w:r>
    </w:p>
    <w:p w:rsidR="00222244" w:rsidRDefault="00222244" w:rsidP="00253E6B">
      <w:pPr>
        <w:spacing w:line="276" w:lineRule="auto"/>
        <w:rPr>
          <w:rFonts w:cs="Times New Roman"/>
          <w:b/>
          <w:szCs w:val="20"/>
        </w:rPr>
      </w:pPr>
      <w:r w:rsidRPr="00222244">
        <w:rPr>
          <w:rFonts w:cs="Times New Roman"/>
          <w:b/>
          <w:szCs w:val="20"/>
        </w:rPr>
        <w:t xml:space="preserve">A. </w:t>
      </w:r>
      <w:r w:rsidR="00A33CD2" w:rsidRPr="00253E6B">
        <w:rPr>
          <w:rFonts w:cs="Times New Roman"/>
          <w:b/>
          <w:szCs w:val="20"/>
        </w:rPr>
        <w:t>Productinterventie</w:t>
      </w:r>
    </w:p>
    <w:p w:rsidR="00EE642C" w:rsidRPr="00222244" w:rsidRDefault="00EE642C" w:rsidP="00253E6B">
      <w:pPr>
        <w:spacing w:line="276" w:lineRule="auto"/>
        <w:rPr>
          <w:rFonts w:cs="Times New Roman"/>
          <w:b/>
          <w:szCs w:val="20"/>
        </w:rPr>
      </w:pPr>
      <w:r>
        <w:rPr>
          <w:rFonts w:cs="Times New Roman"/>
          <w:b/>
          <w:szCs w:val="20"/>
        </w:rPr>
        <w:t>1. Productinterventies naar Belgisch recht</w:t>
      </w:r>
    </w:p>
    <w:p w:rsidR="001F3A8F" w:rsidRDefault="00460C3F" w:rsidP="00867248">
      <w:pPr>
        <w:pStyle w:val="Lijstalinea"/>
        <w:numPr>
          <w:ilvl w:val="0"/>
          <w:numId w:val="3"/>
        </w:numPr>
        <w:spacing w:line="276" w:lineRule="auto"/>
        <w:rPr>
          <w:rFonts w:cs="Times New Roman"/>
          <w:szCs w:val="20"/>
        </w:rPr>
      </w:pPr>
      <w:bookmarkStart w:id="4" w:name="_Ref531357250"/>
      <w:r w:rsidRPr="00460C3F">
        <w:rPr>
          <w:rFonts w:cs="Times New Roman"/>
          <w:i/>
          <w:szCs w:val="20"/>
        </w:rPr>
        <w:t>Inhoud</w:t>
      </w:r>
      <w:r>
        <w:rPr>
          <w:rFonts w:cs="Times New Roman"/>
          <w:szCs w:val="20"/>
        </w:rPr>
        <w:t xml:space="preserve"> </w:t>
      </w:r>
      <w:r w:rsidRPr="00485497">
        <w:rPr>
          <w:rFonts w:cs="Times New Roman"/>
          <w:szCs w:val="20"/>
        </w:rPr>
        <w:t>‒</w:t>
      </w:r>
      <w:r>
        <w:rPr>
          <w:rFonts w:cs="Times New Roman"/>
          <w:szCs w:val="20"/>
        </w:rPr>
        <w:t xml:space="preserve"> </w:t>
      </w:r>
      <w:r w:rsidR="00A043DF" w:rsidRPr="001F3A8F">
        <w:rPr>
          <w:rFonts w:cs="Times New Roman"/>
          <w:szCs w:val="20"/>
        </w:rPr>
        <w:t xml:space="preserve">De eerste </w:t>
      </w:r>
      <w:r w:rsidR="0057213C">
        <w:rPr>
          <w:rFonts w:cs="Times New Roman"/>
          <w:szCs w:val="20"/>
        </w:rPr>
        <w:t xml:space="preserve">reglementaire </w:t>
      </w:r>
      <w:r w:rsidR="00A043DF" w:rsidRPr="001F3A8F">
        <w:rPr>
          <w:rFonts w:cs="Times New Roman"/>
          <w:szCs w:val="20"/>
        </w:rPr>
        <w:t xml:space="preserve">bevoegdheid </w:t>
      </w:r>
      <w:r w:rsidR="0057213C">
        <w:rPr>
          <w:rFonts w:cs="Times New Roman"/>
          <w:szCs w:val="20"/>
        </w:rPr>
        <w:t>van</w:t>
      </w:r>
      <w:r w:rsidR="00A043DF" w:rsidRPr="001F3A8F">
        <w:rPr>
          <w:rFonts w:cs="Times New Roman"/>
          <w:szCs w:val="20"/>
        </w:rPr>
        <w:t xml:space="preserve"> artikel 30</w:t>
      </w:r>
      <w:r w:rsidR="00A043DF" w:rsidRPr="001F3A8F">
        <w:rPr>
          <w:rFonts w:cs="Times New Roman"/>
          <w:i/>
          <w:szCs w:val="20"/>
        </w:rPr>
        <w:t>bis</w:t>
      </w:r>
      <w:r w:rsidR="00A043DF" w:rsidRPr="001F3A8F">
        <w:rPr>
          <w:rFonts w:cs="Times New Roman"/>
          <w:szCs w:val="20"/>
        </w:rPr>
        <w:t xml:space="preserve"> </w:t>
      </w:r>
      <w:r w:rsidR="00FE2BE6">
        <w:rPr>
          <w:rFonts w:cs="Times New Roman"/>
          <w:szCs w:val="20"/>
        </w:rPr>
        <w:t xml:space="preserve">WFT </w:t>
      </w:r>
      <w:r w:rsidR="0057213C">
        <w:rPr>
          <w:rFonts w:cs="Times New Roman"/>
          <w:szCs w:val="20"/>
        </w:rPr>
        <w:t>houdt</w:t>
      </w:r>
      <w:r w:rsidR="00A043DF" w:rsidRPr="001F3A8F">
        <w:rPr>
          <w:rFonts w:cs="Times New Roman"/>
          <w:szCs w:val="20"/>
        </w:rPr>
        <w:t xml:space="preserve"> de mogelijkheid</w:t>
      </w:r>
      <w:r w:rsidR="0057213C">
        <w:rPr>
          <w:rFonts w:cs="Times New Roman"/>
          <w:szCs w:val="20"/>
        </w:rPr>
        <w:t xml:space="preserve"> in</w:t>
      </w:r>
      <w:r w:rsidR="00A043DF" w:rsidRPr="001F3A8F">
        <w:rPr>
          <w:rFonts w:cs="Times New Roman"/>
          <w:szCs w:val="20"/>
        </w:rPr>
        <w:t xml:space="preserve"> voor de FSMA om een verbod (‘</w:t>
      </w:r>
      <w:r w:rsidR="00A043DF" w:rsidRPr="001F3A8F">
        <w:rPr>
          <w:rFonts w:cs="Times New Roman"/>
          <w:i/>
          <w:szCs w:val="20"/>
        </w:rPr>
        <w:t>product ban</w:t>
      </w:r>
      <w:r w:rsidR="00A043DF" w:rsidRPr="001F3A8F">
        <w:rPr>
          <w:rFonts w:cs="Times New Roman"/>
          <w:szCs w:val="20"/>
        </w:rPr>
        <w:t>’) dan wel beperkende voorwaarden op te leggen op de commercialisering of bepaalde vormen van commercialisering aan niet-professionele cliënten van financiële producten of van bepaalde catego</w:t>
      </w:r>
      <w:r w:rsidR="0007006A">
        <w:rPr>
          <w:rFonts w:cs="Times New Roman"/>
          <w:szCs w:val="20"/>
        </w:rPr>
        <w:softHyphen/>
      </w:r>
      <w:r w:rsidR="00A043DF" w:rsidRPr="001F3A8F">
        <w:rPr>
          <w:rFonts w:cs="Times New Roman"/>
          <w:szCs w:val="20"/>
        </w:rPr>
        <w:t>rieën van financiële producten.</w:t>
      </w:r>
      <w:r w:rsidR="00FE2BE6">
        <w:rPr>
          <w:rStyle w:val="Voetnootmarkering"/>
          <w:rFonts w:cs="Times New Roman"/>
          <w:szCs w:val="20"/>
        </w:rPr>
        <w:footnoteReference w:id="29"/>
      </w:r>
      <w:r w:rsidR="00A043DF" w:rsidRPr="001F3A8F">
        <w:rPr>
          <w:rFonts w:cs="Times New Roman"/>
          <w:szCs w:val="20"/>
        </w:rPr>
        <w:t xml:space="preserve"> Onder commercialisering moet worden verstaan “</w:t>
      </w:r>
      <w:r w:rsidR="00A043DF" w:rsidRPr="001F3A8F">
        <w:rPr>
          <w:rFonts w:cs="Times New Roman"/>
          <w:i/>
          <w:szCs w:val="20"/>
        </w:rPr>
        <w:t>het voorstellen van het product, ongeacht de wijze waarop dit gebeurt, om de cliënt of potentiële cliënt aan te zetten tot aankoop van, inschrijving op, toetreding tot, aanvaarding van, ondertekening van of opening van het betrokken product</w:t>
      </w:r>
      <w:r w:rsidR="00A043DF" w:rsidRPr="001F3A8F">
        <w:rPr>
          <w:rFonts w:cs="Times New Roman"/>
          <w:szCs w:val="20"/>
        </w:rPr>
        <w:t>”.</w:t>
      </w:r>
      <w:r w:rsidR="009C171F">
        <w:rPr>
          <w:rStyle w:val="Voetnootmarkering"/>
          <w:rFonts w:cs="Times New Roman"/>
          <w:szCs w:val="20"/>
        </w:rPr>
        <w:footnoteReference w:id="30"/>
      </w:r>
      <w:bookmarkEnd w:id="4"/>
    </w:p>
    <w:p w:rsidR="001F3A8F" w:rsidRDefault="00460C3F" w:rsidP="008E458B">
      <w:pPr>
        <w:pStyle w:val="Lijstalinea"/>
        <w:numPr>
          <w:ilvl w:val="0"/>
          <w:numId w:val="3"/>
        </w:numPr>
        <w:spacing w:line="276" w:lineRule="auto"/>
        <w:rPr>
          <w:rFonts w:cs="Times New Roman"/>
          <w:szCs w:val="20"/>
        </w:rPr>
      </w:pPr>
      <w:r w:rsidRPr="00460C3F">
        <w:rPr>
          <w:rFonts w:cs="Times New Roman"/>
          <w:i/>
          <w:szCs w:val="20"/>
        </w:rPr>
        <w:t>Vrijwillig moratorium</w:t>
      </w:r>
      <w:r>
        <w:rPr>
          <w:rFonts w:cs="Times New Roman"/>
          <w:szCs w:val="20"/>
        </w:rPr>
        <w:t xml:space="preserve"> </w:t>
      </w:r>
      <w:r w:rsidRPr="00485497">
        <w:rPr>
          <w:rFonts w:cs="Times New Roman"/>
          <w:szCs w:val="20"/>
        </w:rPr>
        <w:t>‒</w:t>
      </w:r>
      <w:r>
        <w:rPr>
          <w:rFonts w:cs="Times New Roman"/>
          <w:szCs w:val="20"/>
        </w:rPr>
        <w:t xml:space="preserve"> </w:t>
      </w:r>
      <w:r w:rsidR="001F7FC8" w:rsidRPr="001F3A8F">
        <w:rPr>
          <w:rFonts w:cs="Times New Roman"/>
          <w:szCs w:val="20"/>
        </w:rPr>
        <w:t xml:space="preserve">Vooraleer in te gaan op de nadere voorwaarden van deze </w:t>
      </w:r>
      <w:r w:rsidR="00CC7771">
        <w:rPr>
          <w:rFonts w:cs="Times New Roman"/>
          <w:szCs w:val="20"/>
        </w:rPr>
        <w:t>bevoegdheid</w:t>
      </w:r>
      <w:r w:rsidR="001F7FC8" w:rsidRPr="001F3A8F">
        <w:rPr>
          <w:rFonts w:cs="Times New Roman"/>
          <w:szCs w:val="20"/>
        </w:rPr>
        <w:t xml:space="preserve"> en </w:t>
      </w:r>
      <w:r w:rsidR="00763296" w:rsidRPr="001F3A8F">
        <w:rPr>
          <w:rFonts w:cs="Times New Roman"/>
          <w:szCs w:val="20"/>
        </w:rPr>
        <w:t>haar</w:t>
      </w:r>
      <w:r w:rsidR="001F7FC8" w:rsidRPr="001F3A8F">
        <w:rPr>
          <w:rFonts w:cs="Times New Roman"/>
          <w:szCs w:val="20"/>
        </w:rPr>
        <w:t xml:space="preserve"> toepas</w:t>
      </w:r>
      <w:r w:rsidR="0007006A">
        <w:rPr>
          <w:rFonts w:cs="Times New Roman"/>
          <w:szCs w:val="20"/>
        </w:rPr>
        <w:softHyphen/>
      </w:r>
      <w:r w:rsidR="001F7FC8" w:rsidRPr="001F3A8F">
        <w:rPr>
          <w:rFonts w:cs="Times New Roman"/>
          <w:szCs w:val="20"/>
        </w:rPr>
        <w:t>sing</w:t>
      </w:r>
      <w:r w:rsidR="00763296" w:rsidRPr="001F3A8F">
        <w:rPr>
          <w:rFonts w:cs="Times New Roman"/>
          <w:szCs w:val="20"/>
        </w:rPr>
        <w:t>sgevallen</w:t>
      </w:r>
      <w:r w:rsidR="001F7FC8" w:rsidRPr="001F3A8F">
        <w:rPr>
          <w:rFonts w:cs="Times New Roman"/>
          <w:szCs w:val="20"/>
        </w:rPr>
        <w:t>, moet kort de evolutie van dergelijke productinterventies</w:t>
      </w:r>
      <w:r w:rsidR="002C595F">
        <w:rPr>
          <w:rFonts w:cs="Times New Roman"/>
          <w:szCs w:val="20"/>
        </w:rPr>
        <w:t xml:space="preserve"> worden geschetst</w:t>
      </w:r>
      <w:r w:rsidR="001F7FC8" w:rsidRPr="001F3A8F">
        <w:rPr>
          <w:rFonts w:cs="Times New Roman"/>
          <w:szCs w:val="20"/>
        </w:rPr>
        <w:t xml:space="preserve">. Met </w:t>
      </w:r>
      <w:r w:rsidR="00DC734F">
        <w:rPr>
          <w:rFonts w:cs="Times New Roman"/>
          <w:szCs w:val="20"/>
        </w:rPr>
        <w:t xml:space="preserve">de </w:t>
      </w:r>
      <w:r w:rsidR="00FE2BE6">
        <w:rPr>
          <w:rFonts w:cs="Times New Roman"/>
          <w:szCs w:val="20"/>
        </w:rPr>
        <w:t>totstandbrenging</w:t>
      </w:r>
      <w:r w:rsidR="00DC734F">
        <w:rPr>
          <w:rFonts w:cs="Times New Roman"/>
          <w:szCs w:val="20"/>
        </w:rPr>
        <w:t xml:space="preserve"> van het</w:t>
      </w:r>
      <w:r w:rsidR="00FE2BE6">
        <w:rPr>
          <w:rFonts w:cs="Times New Roman"/>
          <w:szCs w:val="20"/>
        </w:rPr>
        <w:t xml:space="preserve"> zogenaamde</w:t>
      </w:r>
      <w:r w:rsidR="001F7FC8" w:rsidRPr="001F3A8F">
        <w:rPr>
          <w:rFonts w:cs="Times New Roman"/>
          <w:szCs w:val="20"/>
        </w:rPr>
        <w:t xml:space="preserve"> vrijwillig</w:t>
      </w:r>
      <w:r w:rsidR="00FE2BE6">
        <w:rPr>
          <w:rFonts w:cs="Times New Roman"/>
          <w:szCs w:val="20"/>
        </w:rPr>
        <w:t>e</w:t>
      </w:r>
      <w:r w:rsidR="001F7FC8" w:rsidRPr="001F3A8F">
        <w:rPr>
          <w:rFonts w:cs="Times New Roman"/>
          <w:szCs w:val="20"/>
        </w:rPr>
        <w:t xml:space="preserve"> moratorium</w:t>
      </w:r>
      <w:r w:rsidR="001E3B5B">
        <w:rPr>
          <w:rStyle w:val="Voetnootmarkering"/>
          <w:rFonts w:cs="Times New Roman"/>
          <w:szCs w:val="20"/>
        </w:rPr>
        <w:footnoteReference w:id="31"/>
      </w:r>
      <w:r w:rsidR="001F7FC8" w:rsidRPr="001F3A8F">
        <w:rPr>
          <w:rFonts w:cs="Times New Roman"/>
          <w:szCs w:val="20"/>
        </w:rPr>
        <w:t xml:space="preserve"> heeft de FSMA</w:t>
      </w:r>
      <w:r w:rsidR="00DC734F">
        <w:rPr>
          <w:rFonts w:cs="Times New Roman"/>
          <w:szCs w:val="20"/>
        </w:rPr>
        <w:t xml:space="preserve"> </w:t>
      </w:r>
      <w:r w:rsidR="001F7FC8" w:rsidRPr="001F3A8F">
        <w:rPr>
          <w:rFonts w:cs="Times New Roman"/>
          <w:szCs w:val="20"/>
        </w:rPr>
        <w:t xml:space="preserve">immers een eerste keer ingegrepen op de Belgische markt van financiële producten. </w:t>
      </w:r>
      <w:r w:rsidR="003D0300" w:rsidRPr="001F3A8F">
        <w:rPr>
          <w:rFonts w:cs="Times New Roman"/>
          <w:szCs w:val="20"/>
        </w:rPr>
        <w:t>Deze</w:t>
      </w:r>
      <w:r w:rsidR="0052110C" w:rsidRPr="001F3A8F">
        <w:rPr>
          <w:rFonts w:cs="Times New Roman"/>
          <w:szCs w:val="20"/>
        </w:rPr>
        <w:t xml:space="preserve"> vrijwillige</w:t>
      </w:r>
      <w:r w:rsidR="003D0300" w:rsidRPr="001F3A8F">
        <w:rPr>
          <w:rFonts w:cs="Times New Roman"/>
          <w:szCs w:val="20"/>
        </w:rPr>
        <w:t xml:space="preserve"> maatregel </w:t>
      </w:r>
      <w:r w:rsidR="0052110C" w:rsidRPr="001F3A8F">
        <w:rPr>
          <w:rFonts w:cs="Times New Roman"/>
          <w:szCs w:val="20"/>
        </w:rPr>
        <w:t>was bedoeld als een eerste stap</w:t>
      </w:r>
      <w:r w:rsidR="003D0300" w:rsidRPr="001F3A8F">
        <w:rPr>
          <w:rFonts w:cs="Times New Roman"/>
          <w:szCs w:val="20"/>
        </w:rPr>
        <w:t xml:space="preserve"> naar </w:t>
      </w:r>
      <w:r w:rsidR="0052110C" w:rsidRPr="001F3A8F">
        <w:rPr>
          <w:rFonts w:cs="Times New Roman"/>
          <w:szCs w:val="20"/>
        </w:rPr>
        <w:t>een</w:t>
      </w:r>
      <w:r w:rsidR="003D0300" w:rsidRPr="001F3A8F">
        <w:rPr>
          <w:rFonts w:cs="Times New Roman"/>
          <w:szCs w:val="20"/>
        </w:rPr>
        <w:t xml:space="preserve"> dwingend reglement </w:t>
      </w:r>
      <w:r w:rsidR="0052110C" w:rsidRPr="001F3A8F">
        <w:rPr>
          <w:rFonts w:cs="Times New Roman"/>
          <w:szCs w:val="20"/>
        </w:rPr>
        <w:t>op grond van artikel</w:t>
      </w:r>
      <w:r w:rsidR="003D0300" w:rsidRPr="001F3A8F">
        <w:rPr>
          <w:rFonts w:cs="Times New Roman"/>
          <w:szCs w:val="20"/>
        </w:rPr>
        <w:t xml:space="preserve"> 30</w:t>
      </w:r>
      <w:r w:rsidR="003D0300" w:rsidRPr="001F3A8F">
        <w:rPr>
          <w:rFonts w:cs="Times New Roman"/>
          <w:i/>
          <w:szCs w:val="20"/>
        </w:rPr>
        <w:t>bis</w:t>
      </w:r>
      <w:r w:rsidR="00CC7771">
        <w:rPr>
          <w:rFonts w:cs="Times New Roman"/>
          <w:szCs w:val="20"/>
        </w:rPr>
        <w:t>, eerste lid, 1°</w:t>
      </w:r>
      <w:r w:rsidR="003D0300" w:rsidRPr="001F3A8F">
        <w:rPr>
          <w:rFonts w:cs="Times New Roman"/>
          <w:szCs w:val="20"/>
        </w:rPr>
        <w:t xml:space="preserve"> WFT.</w:t>
      </w:r>
      <w:r w:rsidR="009E1E0A" w:rsidRPr="001F3A8F">
        <w:rPr>
          <w:rFonts w:cs="Times New Roman"/>
          <w:szCs w:val="20"/>
        </w:rPr>
        <w:t xml:space="preserve"> Distributeurs verbonden er zich vrijwillig toe om niet langer over te gaan tot de aanbieding van</w:t>
      </w:r>
      <w:r w:rsidR="0088371D">
        <w:rPr>
          <w:rFonts w:cs="Times New Roman"/>
          <w:szCs w:val="20"/>
        </w:rPr>
        <w:t xml:space="preserve"> </w:t>
      </w:r>
      <w:r w:rsidR="009E1E0A" w:rsidRPr="001F3A8F">
        <w:rPr>
          <w:rFonts w:cs="Times New Roman"/>
          <w:szCs w:val="20"/>
        </w:rPr>
        <w:t>gestructureerde producten die als bijzonder ingewikkeld kunnen worden beschouwd</w:t>
      </w:r>
      <w:r w:rsidR="00E93E72" w:rsidRPr="00E93E72">
        <w:rPr>
          <w:rFonts w:cs="Times New Roman"/>
          <w:szCs w:val="20"/>
        </w:rPr>
        <w:t xml:space="preserve"> </w:t>
      </w:r>
      <w:r w:rsidR="00E93E72" w:rsidRPr="001F3A8F">
        <w:rPr>
          <w:rFonts w:cs="Times New Roman"/>
          <w:szCs w:val="20"/>
        </w:rPr>
        <w:t>aan ‘retailbeleggers’</w:t>
      </w:r>
      <w:r w:rsidR="009E1E0A" w:rsidRPr="001F3A8F">
        <w:rPr>
          <w:rFonts w:cs="Times New Roman"/>
          <w:szCs w:val="20"/>
        </w:rPr>
        <w:t>.</w:t>
      </w:r>
      <w:r w:rsidR="003D0300">
        <w:rPr>
          <w:rStyle w:val="Voetnootmarkering"/>
          <w:rFonts w:cs="Times New Roman"/>
          <w:szCs w:val="20"/>
        </w:rPr>
        <w:footnoteReference w:id="32"/>
      </w:r>
      <w:r w:rsidR="0088371D">
        <w:rPr>
          <w:rFonts w:cs="Times New Roman"/>
          <w:szCs w:val="20"/>
        </w:rPr>
        <w:t xml:space="preserve"> </w:t>
      </w:r>
      <w:r w:rsidR="00D32393">
        <w:rPr>
          <w:rFonts w:cs="Times New Roman"/>
          <w:szCs w:val="20"/>
        </w:rPr>
        <w:t xml:space="preserve">Kort gezegd zijn gestructureerde producten beleggingsproducten </w:t>
      </w:r>
      <w:r w:rsidR="00616530">
        <w:rPr>
          <w:rFonts w:cs="Times New Roman"/>
          <w:szCs w:val="20"/>
        </w:rPr>
        <w:t>die een deri</w:t>
      </w:r>
      <w:r w:rsidR="0007006A">
        <w:rPr>
          <w:rFonts w:cs="Times New Roman"/>
          <w:szCs w:val="20"/>
        </w:rPr>
        <w:softHyphen/>
      </w:r>
      <w:r w:rsidR="00616530">
        <w:rPr>
          <w:rFonts w:cs="Times New Roman"/>
          <w:szCs w:val="20"/>
        </w:rPr>
        <w:t xml:space="preserve">vatencomponent omvatten </w:t>
      </w:r>
      <w:r w:rsidR="005648E5">
        <w:rPr>
          <w:rFonts w:cs="Times New Roman"/>
          <w:szCs w:val="20"/>
        </w:rPr>
        <w:t>en waarvan de terugbetaling of de opbrengsten volgens een formule afhangen van de evolutie van een of meerdere onderliggende waarden</w:t>
      </w:r>
      <w:r w:rsidR="00D32393">
        <w:rPr>
          <w:rFonts w:cs="Times New Roman"/>
          <w:szCs w:val="20"/>
        </w:rPr>
        <w:t>.</w:t>
      </w:r>
      <w:r w:rsidR="00D32393">
        <w:rPr>
          <w:rStyle w:val="Voetnootmarkering"/>
          <w:rFonts w:cs="Times New Roman"/>
          <w:szCs w:val="20"/>
        </w:rPr>
        <w:footnoteReference w:id="33"/>
      </w:r>
      <w:r w:rsidR="00D32393">
        <w:rPr>
          <w:rFonts w:cs="Times New Roman"/>
          <w:szCs w:val="20"/>
        </w:rPr>
        <w:t xml:space="preserve"> Deze producten moeten tevens bijzonder ingewikkeld zijn, wat </w:t>
      </w:r>
      <w:r w:rsidR="00616530">
        <w:rPr>
          <w:rFonts w:cs="Times New Roman"/>
          <w:szCs w:val="20"/>
        </w:rPr>
        <w:t>het geval is wanneer aan één van vier criteria niet is voldaan.</w:t>
      </w:r>
      <w:r w:rsidR="00616530">
        <w:rPr>
          <w:rStyle w:val="Voetnootmarkering"/>
          <w:rFonts w:cs="Times New Roman"/>
          <w:szCs w:val="20"/>
        </w:rPr>
        <w:footnoteReference w:id="34"/>
      </w:r>
      <w:r w:rsidR="00D32393">
        <w:rPr>
          <w:rFonts w:cs="Times New Roman"/>
          <w:szCs w:val="20"/>
        </w:rPr>
        <w:t xml:space="preserve"> </w:t>
      </w:r>
      <w:r w:rsidR="005648E5">
        <w:rPr>
          <w:rFonts w:cs="Times New Roman"/>
          <w:szCs w:val="20"/>
        </w:rPr>
        <w:t xml:space="preserve">Omwille van hun complexiteit werden bepaalde </w:t>
      </w:r>
      <w:r w:rsidR="00CC7771">
        <w:rPr>
          <w:rFonts w:cs="Times New Roman"/>
          <w:szCs w:val="20"/>
        </w:rPr>
        <w:t xml:space="preserve">gestructureerde </w:t>
      </w:r>
      <w:r w:rsidR="005648E5">
        <w:rPr>
          <w:rFonts w:cs="Times New Roman"/>
          <w:szCs w:val="20"/>
        </w:rPr>
        <w:t xml:space="preserve">producten </w:t>
      </w:r>
      <w:r w:rsidR="00FD171C">
        <w:rPr>
          <w:rFonts w:cs="Times New Roman"/>
          <w:szCs w:val="20"/>
        </w:rPr>
        <w:t xml:space="preserve">dus </w:t>
      </w:r>
      <w:r w:rsidR="00CA60A1">
        <w:rPr>
          <w:rFonts w:cs="Times New Roman"/>
          <w:szCs w:val="20"/>
        </w:rPr>
        <w:t>ongeschikt</w:t>
      </w:r>
      <w:r w:rsidR="00CC7771">
        <w:rPr>
          <w:rFonts w:cs="Times New Roman"/>
          <w:szCs w:val="20"/>
        </w:rPr>
        <w:t xml:space="preserve"> </w:t>
      </w:r>
      <w:r w:rsidR="00FD171C">
        <w:rPr>
          <w:rFonts w:cs="Times New Roman"/>
          <w:szCs w:val="20"/>
        </w:rPr>
        <w:t>geacht</w:t>
      </w:r>
      <w:r w:rsidR="00CC7771">
        <w:rPr>
          <w:rFonts w:cs="Times New Roman"/>
          <w:szCs w:val="20"/>
        </w:rPr>
        <w:t xml:space="preserve"> vo</w:t>
      </w:r>
      <w:r w:rsidR="00CA60A1">
        <w:rPr>
          <w:rFonts w:cs="Times New Roman"/>
          <w:szCs w:val="20"/>
        </w:rPr>
        <w:t>or deze categorie van beleggers omdat zij de hoge risico</w:t>
      </w:r>
      <w:r w:rsidR="00FD171C">
        <w:rPr>
          <w:rFonts w:cs="Times New Roman"/>
          <w:szCs w:val="20"/>
        </w:rPr>
        <w:t>’</w:t>
      </w:r>
      <w:r w:rsidR="00CA60A1">
        <w:rPr>
          <w:rFonts w:cs="Times New Roman"/>
          <w:szCs w:val="20"/>
        </w:rPr>
        <w:t xml:space="preserve">s </w:t>
      </w:r>
      <w:r w:rsidR="00FD171C">
        <w:rPr>
          <w:rFonts w:cs="Times New Roman"/>
          <w:szCs w:val="20"/>
        </w:rPr>
        <w:t xml:space="preserve">daardoor </w:t>
      </w:r>
      <w:r w:rsidR="00CA60A1">
        <w:rPr>
          <w:rFonts w:cs="Times New Roman"/>
          <w:szCs w:val="20"/>
        </w:rPr>
        <w:t>niet konden inschatten.</w:t>
      </w:r>
    </w:p>
    <w:p w:rsidR="00B7665A" w:rsidRDefault="00460C3F" w:rsidP="00B7665A">
      <w:pPr>
        <w:pStyle w:val="Lijstalinea"/>
        <w:numPr>
          <w:ilvl w:val="0"/>
          <w:numId w:val="3"/>
        </w:numPr>
        <w:spacing w:line="276" w:lineRule="auto"/>
        <w:rPr>
          <w:rFonts w:cs="Times New Roman"/>
          <w:szCs w:val="20"/>
        </w:rPr>
      </w:pPr>
      <w:r w:rsidRPr="00460C3F">
        <w:rPr>
          <w:rFonts w:cs="Times New Roman"/>
          <w:i/>
          <w:szCs w:val="20"/>
        </w:rPr>
        <w:t>Twee toepassingsgevallen</w:t>
      </w:r>
      <w:r>
        <w:rPr>
          <w:rFonts w:cs="Times New Roman"/>
          <w:szCs w:val="20"/>
        </w:rPr>
        <w:t xml:space="preserve"> </w:t>
      </w:r>
      <w:r w:rsidRPr="00485497">
        <w:rPr>
          <w:rFonts w:cs="Times New Roman"/>
          <w:szCs w:val="20"/>
        </w:rPr>
        <w:t>‒</w:t>
      </w:r>
      <w:r>
        <w:rPr>
          <w:rFonts w:cs="Times New Roman"/>
          <w:szCs w:val="20"/>
        </w:rPr>
        <w:t xml:space="preserve"> </w:t>
      </w:r>
      <w:r w:rsidR="00B7665A" w:rsidRPr="001F3A8F">
        <w:rPr>
          <w:rFonts w:cs="Times New Roman"/>
          <w:szCs w:val="20"/>
        </w:rPr>
        <w:t>Na dit moratorium heeft de FSMA wel dwingende maatregelen genomen op basis van artikel 30</w:t>
      </w:r>
      <w:r w:rsidR="00B7665A" w:rsidRPr="001F3A8F">
        <w:rPr>
          <w:rFonts w:cs="Times New Roman"/>
          <w:i/>
          <w:szCs w:val="20"/>
        </w:rPr>
        <w:t>bis</w:t>
      </w:r>
      <w:r w:rsidR="00D44F5C">
        <w:rPr>
          <w:rFonts w:cs="Times New Roman"/>
          <w:szCs w:val="20"/>
        </w:rPr>
        <w:t>, eerste lid, 1°</w:t>
      </w:r>
      <w:r w:rsidR="00B7665A" w:rsidRPr="001F3A8F">
        <w:rPr>
          <w:rFonts w:cs="Times New Roman"/>
          <w:szCs w:val="20"/>
        </w:rPr>
        <w:t xml:space="preserve"> WFT.</w:t>
      </w:r>
      <w:r w:rsidR="00B7665A">
        <w:rPr>
          <w:rFonts w:cs="Times New Roman"/>
          <w:szCs w:val="20"/>
        </w:rPr>
        <w:t xml:space="preserve"> </w:t>
      </w:r>
      <w:r w:rsidR="00DC734F">
        <w:rPr>
          <w:rFonts w:cs="Times New Roman"/>
          <w:szCs w:val="20"/>
        </w:rPr>
        <w:t>H</w:t>
      </w:r>
      <w:r w:rsidR="00B7665A">
        <w:rPr>
          <w:rFonts w:cs="Times New Roman"/>
          <w:szCs w:val="20"/>
        </w:rPr>
        <w:t xml:space="preserve">et KB van 24 april 2014 </w:t>
      </w:r>
      <w:r w:rsidR="00DC734F">
        <w:rPr>
          <w:rFonts w:cs="Times New Roman"/>
          <w:szCs w:val="20"/>
        </w:rPr>
        <w:t>keurde</w:t>
      </w:r>
      <w:r w:rsidR="00B7665A">
        <w:rPr>
          <w:rFonts w:cs="Times New Roman"/>
          <w:szCs w:val="20"/>
        </w:rPr>
        <w:t xml:space="preserve"> een eerste reglement goed betreffende het commercialiseringsverbod van bepaalde financiële producten aan niet professionele cliënten.</w:t>
      </w:r>
      <w:r w:rsidR="00B7665A">
        <w:rPr>
          <w:rStyle w:val="Voetnootmarkering"/>
          <w:rFonts w:cs="Times New Roman"/>
          <w:szCs w:val="20"/>
        </w:rPr>
        <w:footnoteReference w:id="35"/>
      </w:r>
      <w:r w:rsidR="00B7665A">
        <w:rPr>
          <w:rFonts w:cs="Times New Roman"/>
          <w:szCs w:val="20"/>
        </w:rPr>
        <w:t xml:space="preserve"> Nadien werd bij KB van 21 juli 2016 nog een tweede reglement goedgekeurd tot omkadering van de commercialisering van be</w:t>
      </w:r>
      <w:r w:rsidR="0007006A">
        <w:rPr>
          <w:rFonts w:cs="Times New Roman"/>
          <w:szCs w:val="20"/>
        </w:rPr>
        <w:softHyphen/>
      </w:r>
      <w:r w:rsidR="00B7665A">
        <w:rPr>
          <w:rFonts w:cs="Times New Roman"/>
          <w:szCs w:val="20"/>
        </w:rPr>
        <w:t xml:space="preserve">paalde derivaten bij </w:t>
      </w:r>
      <w:r w:rsidR="00B7665A" w:rsidRPr="00115BD6">
        <w:rPr>
          <w:rFonts w:cs="Times New Roman"/>
          <w:szCs w:val="20"/>
        </w:rPr>
        <w:t>consumenten</w:t>
      </w:r>
      <w:r w:rsidR="00B7665A">
        <w:rPr>
          <w:rFonts w:cs="Times New Roman"/>
          <w:szCs w:val="20"/>
        </w:rPr>
        <w:t>.</w:t>
      </w:r>
      <w:r w:rsidR="00B7665A">
        <w:rPr>
          <w:rStyle w:val="Voetnootmarkering"/>
          <w:rFonts w:cs="Times New Roman"/>
          <w:szCs w:val="20"/>
        </w:rPr>
        <w:footnoteReference w:id="36"/>
      </w:r>
      <w:r w:rsidR="00B7665A">
        <w:rPr>
          <w:rFonts w:cs="Times New Roman"/>
          <w:szCs w:val="20"/>
        </w:rPr>
        <w:t xml:space="preserve"> Het eerste reglement had </w:t>
      </w:r>
      <w:r w:rsidR="001007D6">
        <w:rPr>
          <w:rFonts w:cs="Times New Roman"/>
          <w:szCs w:val="20"/>
        </w:rPr>
        <w:t xml:space="preserve">een verbod tot voorwerp </w:t>
      </w:r>
      <w:r w:rsidR="0088371D">
        <w:rPr>
          <w:rFonts w:cs="Times New Roman"/>
          <w:szCs w:val="20"/>
        </w:rPr>
        <w:t>om</w:t>
      </w:r>
      <w:r w:rsidR="008B644D">
        <w:rPr>
          <w:rFonts w:cs="Times New Roman"/>
          <w:szCs w:val="20"/>
        </w:rPr>
        <w:t xml:space="preserve"> bepaalde financiële producten </w:t>
      </w:r>
      <w:r w:rsidR="0088371D">
        <w:rPr>
          <w:rFonts w:cs="Times New Roman"/>
          <w:szCs w:val="20"/>
        </w:rPr>
        <w:t>aan</w:t>
      </w:r>
      <w:r w:rsidR="008B644D">
        <w:rPr>
          <w:rFonts w:cs="Times New Roman"/>
          <w:szCs w:val="20"/>
        </w:rPr>
        <w:t xml:space="preserve"> niet-professionele cliënten </w:t>
      </w:r>
      <w:r w:rsidR="0088371D">
        <w:rPr>
          <w:rFonts w:cs="Times New Roman"/>
          <w:szCs w:val="20"/>
        </w:rPr>
        <w:t>te commercialiseren</w:t>
      </w:r>
      <w:r w:rsidR="008B644D">
        <w:rPr>
          <w:rFonts w:cs="Times New Roman"/>
          <w:szCs w:val="20"/>
        </w:rPr>
        <w:t xml:space="preserve">. </w:t>
      </w:r>
      <w:r w:rsidR="00F80F36">
        <w:rPr>
          <w:rFonts w:cs="Times New Roman"/>
          <w:szCs w:val="20"/>
        </w:rPr>
        <w:t xml:space="preserve">De commercialisering van </w:t>
      </w:r>
      <w:r w:rsidR="00F80F36">
        <w:rPr>
          <w:rFonts w:cs="Times New Roman"/>
          <w:i/>
          <w:szCs w:val="20"/>
        </w:rPr>
        <w:t>life settlements</w:t>
      </w:r>
      <w:r w:rsidR="00F80F36" w:rsidRPr="00FD171C">
        <w:rPr>
          <w:rStyle w:val="Voetnootmarkering"/>
          <w:rFonts w:cs="Times New Roman"/>
          <w:szCs w:val="20"/>
        </w:rPr>
        <w:footnoteReference w:id="37"/>
      </w:r>
      <w:r w:rsidR="00DD0068" w:rsidRPr="00FD171C">
        <w:rPr>
          <w:rFonts w:cs="Times New Roman"/>
          <w:szCs w:val="20"/>
        </w:rPr>
        <w:t xml:space="preserve"> </w:t>
      </w:r>
      <w:r w:rsidR="00DD0068">
        <w:rPr>
          <w:rFonts w:cs="Times New Roman"/>
          <w:szCs w:val="20"/>
        </w:rPr>
        <w:t>(en financiële producten die daarvan afhangen)</w:t>
      </w:r>
      <w:r w:rsidR="00A87DB0">
        <w:rPr>
          <w:rFonts w:cs="Times New Roman"/>
          <w:szCs w:val="20"/>
        </w:rPr>
        <w:t xml:space="preserve"> en</w:t>
      </w:r>
      <w:r w:rsidR="00F80F36">
        <w:rPr>
          <w:rFonts w:cs="Times New Roman"/>
          <w:szCs w:val="20"/>
        </w:rPr>
        <w:t xml:space="preserve"> derivaten op virtueel geld</w:t>
      </w:r>
      <w:r w:rsidR="00A87DB0">
        <w:rPr>
          <w:rFonts w:cs="Times New Roman"/>
          <w:szCs w:val="20"/>
        </w:rPr>
        <w:t xml:space="preserve"> aan deze categorie beleggers </w:t>
      </w:r>
      <w:r w:rsidR="00D80821">
        <w:rPr>
          <w:rFonts w:cs="Times New Roman"/>
          <w:szCs w:val="20"/>
        </w:rPr>
        <w:t>is sindsdien</w:t>
      </w:r>
      <w:r w:rsidR="00A87DB0">
        <w:rPr>
          <w:rFonts w:cs="Times New Roman"/>
          <w:szCs w:val="20"/>
        </w:rPr>
        <w:t xml:space="preserve"> verboden. Ook beleggingsinstrumenten, die geen recht van deelneming in een instelling voor collectieve belegging zijn, waarvan het rendement afhangt van een alternatieve instelling voor collectieve belegging</w:t>
      </w:r>
      <w:r w:rsidR="00191ECD">
        <w:rPr>
          <w:rFonts w:cs="Times New Roman"/>
          <w:szCs w:val="20"/>
        </w:rPr>
        <w:t xml:space="preserve"> die belegt</w:t>
      </w:r>
      <w:r w:rsidR="00A87DB0">
        <w:rPr>
          <w:rFonts w:cs="Times New Roman"/>
          <w:szCs w:val="20"/>
        </w:rPr>
        <w:t xml:space="preserve"> in niet-conventionele activa (bijvoorbeeld whisky, wijn en kunstobjecten)</w:t>
      </w:r>
      <w:r w:rsidR="00191ECD">
        <w:rPr>
          <w:rFonts w:cs="Times New Roman"/>
          <w:szCs w:val="20"/>
        </w:rPr>
        <w:t>,</w:t>
      </w:r>
      <w:r w:rsidR="00A87DB0">
        <w:rPr>
          <w:rFonts w:cs="Times New Roman"/>
          <w:szCs w:val="20"/>
        </w:rPr>
        <w:t xml:space="preserve"> </w:t>
      </w:r>
      <w:r w:rsidR="00D80821">
        <w:rPr>
          <w:rFonts w:cs="Times New Roman"/>
          <w:szCs w:val="20"/>
        </w:rPr>
        <w:t>vielen</w:t>
      </w:r>
      <w:r w:rsidR="00A87DB0">
        <w:rPr>
          <w:rFonts w:cs="Times New Roman"/>
          <w:szCs w:val="20"/>
        </w:rPr>
        <w:t xml:space="preserve"> onder het verbod. </w:t>
      </w:r>
      <w:r w:rsidR="00191ECD">
        <w:rPr>
          <w:rFonts w:cs="Times New Roman"/>
          <w:szCs w:val="20"/>
        </w:rPr>
        <w:t xml:space="preserve">Om te vermijden dat </w:t>
      </w:r>
      <w:r w:rsidR="00191ECD">
        <w:rPr>
          <w:rFonts w:cs="Times New Roman"/>
          <w:szCs w:val="20"/>
        </w:rPr>
        <w:lastRenderedPageBreak/>
        <w:t xml:space="preserve">dit laatste onrechtstreeks zou plaatsvinden, </w:t>
      </w:r>
      <w:r w:rsidR="00D80821">
        <w:rPr>
          <w:rFonts w:cs="Times New Roman"/>
          <w:szCs w:val="20"/>
        </w:rPr>
        <w:t>werden</w:t>
      </w:r>
      <w:r w:rsidR="00191ECD">
        <w:rPr>
          <w:rFonts w:cs="Times New Roman"/>
          <w:szCs w:val="20"/>
        </w:rPr>
        <w:t xml:space="preserve"> ook</w:t>
      </w:r>
      <w:r w:rsidR="00F80F36">
        <w:rPr>
          <w:rFonts w:cs="Times New Roman"/>
          <w:szCs w:val="20"/>
        </w:rPr>
        <w:t xml:space="preserve"> tak-23 </w:t>
      </w:r>
      <w:r w:rsidR="0017083C">
        <w:rPr>
          <w:rFonts w:cs="Times New Roman"/>
          <w:szCs w:val="20"/>
        </w:rPr>
        <w:t>verzekeringsovereenkomsten</w:t>
      </w:r>
      <w:r w:rsidR="00191ECD">
        <w:rPr>
          <w:rFonts w:cs="Times New Roman"/>
          <w:szCs w:val="20"/>
        </w:rPr>
        <w:t xml:space="preserve"> eronder</w:t>
      </w:r>
      <w:r w:rsidR="00F80F36">
        <w:rPr>
          <w:rFonts w:cs="Times New Roman"/>
          <w:szCs w:val="20"/>
        </w:rPr>
        <w:t xml:space="preserve"> </w:t>
      </w:r>
      <w:r w:rsidR="00D80821">
        <w:rPr>
          <w:rFonts w:cs="Times New Roman"/>
          <w:szCs w:val="20"/>
        </w:rPr>
        <w:t xml:space="preserve">gebracht </w:t>
      </w:r>
      <w:r w:rsidR="00F80F36">
        <w:rPr>
          <w:rFonts w:cs="Times New Roman"/>
          <w:szCs w:val="20"/>
        </w:rPr>
        <w:t>waarvan het rendement afhangt van</w:t>
      </w:r>
      <w:r w:rsidR="0017083C">
        <w:rPr>
          <w:rFonts w:cs="Times New Roman"/>
          <w:szCs w:val="20"/>
        </w:rPr>
        <w:t xml:space="preserve"> een alternatieve instelling voor collectieve belegging of een intern fonds dat in</w:t>
      </w:r>
      <w:r w:rsidR="00EA122D">
        <w:rPr>
          <w:rFonts w:cs="Times New Roman"/>
          <w:szCs w:val="20"/>
        </w:rPr>
        <w:t xml:space="preserve"> niet-conventionele activa</w:t>
      </w:r>
      <w:r w:rsidR="00F80F36">
        <w:rPr>
          <w:rFonts w:cs="Times New Roman"/>
          <w:szCs w:val="20"/>
        </w:rPr>
        <w:t xml:space="preserve"> </w:t>
      </w:r>
      <w:r w:rsidR="00A87DB0">
        <w:rPr>
          <w:rFonts w:cs="Times New Roman"/>
          <w:szCs w:val="20"/>
        </w:rPr>
        <w:t>belegt.</w:t>
      </w:r>
      <w:r w:rsidR="001B5A52">
        <w:rPr>
          <w:rStyle w:val="Voetnootmarkering"/>
          <w:rFonts w:cs="Times New Roman"/>
          <w:szCs w:val="20"/>
        </w:rPr>
        <w:footnoteReference w:id="38"/>
      </w:r>
      <w:r w:rsidR="001B5A52">
        <w:rPr>
          <w:rFonts w:cs="Times New Roman"/>
          <w:szCs w:val="20"/>
        </w:rPr>
        <w:t xml:space="preserve"> Het tweede reglement legde </w:t>
      </w:r>
      <w:r w:rsidR="00923A54">
        <w:rPr>
          <w:rFonts w:cs="Times New Roman"/>
          <w:szCs w:val="20"/>
        </w:rPr>
        <w:t>een verbod op om bepaalde afgeleide financiële instrumenten te commercialiseren</w:t>
      </w:r>
      <w:r w:rsidR="00301C11">
        <w:rPr>
          <w:rFonts w:cs="Times New Roman"/>
          <w:szCs w:val="20"/>
        </w:rPr>
        <w:t xml:space="preserve"> via een elektronisch handelssysteem</w:t>
      </w:r>
      <w:r w:rsidR="00923A54">
        <w:rPr>
          <w:rFonts w:cs="Times New Roman"/>
          <w:szCs w:val="20"/>
        </w:rPr>
        <w:t xml:space="preserve"> aan consumenten</w:t>
      </w:r>
      <w:r w:rsidR="00D80821">
        <w:rPr>
          <w:rFonts w:cs="Times New Roman"/>
          <w:szCs w:val="20"/>
        </w:rPr>
        <w:t>. Het betrof</w:t>
      </w:r>
      <w:r w:rsidR="00301C11">
        <w:rPr>
          <w:rFonts w:cs="Times New Roman"/>
          <w:szCs w:val="20"/>
        </w:rPr>
        <w:t xml:space="preserve"> binaire opties, afgeleide instrumenten met een initiële looptijd van minder dan een uur en afgeleide instrumenten met een hef</w:t>
      </w:r>
      <w:r w:rsidR="0007006A">
        <w:rPr>
          <w:rFonts w:cs="Times New Roman"/>
          <w:szCs w:val="20"/>
        </w:rPr>
        <w:softHyphen/>
      </w:r>
      <w:r w:rsidR="00301C11">
        <w:rPr>
          <w:rFonts w:cs="Times New Roman"/>
          <w:szCs w:val="20"/>
        </w:rPr>
        <w:t>boomeffect.</w:t>
      </w:r>
      <w:r w:rsidR="00301C11">
        <w:rPr>
          <w:rStyle w:val="Voetnootmarkering"/>
          <w:rFonts w:cs="Times New Roman"/>
          <w:szCs w:val="20"/>
        </w:rPr>
        <w:footnoteReference w:id="39"/>
      </w:r>
      <w:r w:rsidR="00301C11">
        <w:rPr>
          <w:rFonts w:cs="Times New Roman"/>
          <w:szCs w:val="20"/>
        </w:rPr>
        <w:t xml:space="preserve"> Dit laatste </w:t>
      </w:r>
      <w:r w:rsidR="00F82119">
        <w:rPr>
          <w:rFonts w:cs="Times New Roman"/>
          <w:szCs w:val="20"/>
        </w:rPr>
        <w:t>bracht</w:t>
      </w:r>
      <w:r w:rsidR="00301C11">
        <w:rPr>
          <w:rFonts w:cs="Times New Roman"/>
          <w:szCs w:val="20"/>
        </w:rPr>
        <w:t xml:space="preserve"> een verbod</w:t>
      </w:r>
      <w:r w:rsidR="00F82119">
        <w:rPr>
          <w:rFonts w:cs="Times New Roman"/>
          <w:szCs w:val="20"/>
        </w:rPr>
        <w:t xml:space="preserve"> tot stand </w:t>
      </w:r>
      <w:r w:rsidR="00D779CE">
        <w:rPr>
          <w:rFonts w:cs="Times New Roman"/>
          <w:szCs w:val="20"/>
        </w:rPr>
        <w:t xml:space="preserve">op de commercialisering </w:t>
      </w:r>
      <w:r w:rsidR="00F82119">
        <w:rPr>
          <w:rFonts w:cs="Times New Roman"/>
          <w:szCs w:val="20"/>
        </w:rPr>
        <w:t>van</w:t>
      </w:r>
      <w:r w:rsidR="00301C11">
        <w:rPr>
          <w:rFonts w:cs="Times New Roman"/>
          <w:szCs w:val="20"/>
        </w:rPr>
        <w:t xml:space="preserve"> zogenaamde </w:t>
      </w:r>
      <w:r w:rsidR="00916E8D">
        <w:rPr>
          <w:rFonts w:cs="Times New Roman"/>
          <w:szCs w:val="20"/>
        </w:rPr>
        <w:t>‘</w:t>
      </w:r>
      <w:r w:rsidR="00301C11" w:rsidRPr="00F82119">
        <w:rPr>
          <w:rFonts w:cs="Times New Roman"/>
          <w:i/>
          <w:szCs w:val="20"/>
        </w:rPr>
        <w:t>Contracts for Difference</w:t>
      </w:r>
      <w:r w:rsidR="00916E8D">
        <w:rPr>
          <w:rFonts w:cs="Times New Roman"/>
          <w:szCs w:val="20"/>
        </w:rPr>
        <w:t>’</w:t>
      </w:r>
      <w:r w:rsidR="00B5637E">
        <w:rPr>
          <w:rStyle w:val="Voetnootmarkering"/>
          <w:rFonts w:cs="Times New Roman"/>
          <w:szCs w:val="20"/>
        </w:rPr>
        <w:footnoteReference w:id="40"/>
      </w:r>
      <w:r w:rsidR="00301C11">
        <w:rPr>
          <w:rFonts w:cs="Times New Roman"/>
          <w:szCs w:val="20"/>
        </w:rPr>
        <w:t xml:space="preserve"> (CFD’s</w:t>
      </w:r>
      <w:r w:rsidR="0088585D">
        <w:rPr>
          <w:rFonts w:cs="Times New Roman"/>
          <w:szCs w:val="20"/>
        </w:rPr>
        <w:t>). Naast een productverbod</w:t>
      </w:r>
      <w:r w:rsidR="00301C11">
        <w:rPr>
          <w:rFonts w:cs="Times New Roman"/>
          <w:szCs w:val="20"/>
        </w:rPr>
        <w:t xml:space="preserve"> </w:t>
      </w:r>
      <w:r w:rsidR="0088585D">
        <w:rPr>
          <w:rFonts w:cs="Times New Roman"/>
          <w:szCs w:val="20"/>
        </w:rPr>
        <w:t>legde het reglement</w:t>
      </w:r>
      <w:r w:rsidR="00301C11">
        <w:rPr>
          <w:rFonts w:cs="Times New Roman"/>
          <w:szCs w:val="20"/>
        </w:rPr>
        <w:t xml:space="preserve"> ook een aantal misleidende en agressieve handelspraktijken (geschenken, bonussen, het gebruik van callcenters, etc.)</w:t>
      </w:r>
      <w:r w:rsidR="00746A1C">
        <w:rPr>
          <w:rFonts w:cs="Times New Roman"/>
          <w:szCs w:val="20"/>
        </w:rPr>
        <w:t xml:space="preserve"> </w:t>
      </w:r>
      <w:r w:rsidR="0088585D">
        <w:rPr>
          <w:rFonts w:cs="Times New Roman"/>
          <w:szCs w:val="20"/>
        </w:rPr>
        <w:t>aan banden</w:t>
      </w:r>
      <w:r w:rsidR="00301C11">
        <w:rPr>
          <w:rFonts w:cs="Times New Roman"/>
          <w:szCs w:val="20"/>
        </w:rPr>
        <w:t xml:space="preserve"> waarmee de commerciali</w:t>
      </w:r>
      <w:r w:rsidR="0007006A">
        <w:rPr>
          <w:rFonts w:cs="Times New Roman"/>
          <w:szCs w:val="20"/>
        </w:rPr>
        <w:softHyphen/>
      </w:r>
      <w:r w:rsidR="00301C11">
        <w:rPr>
          <w:rFonts w:cs="Times New Roman"/>
          <w:szCs w:val="20"/>
        </w:rPr>
        <w:t>sering van deze geviseerde financiële producten</w:t>
      </w:r>
      <w:r w:rsidR="0088585D">
        <w:rPr>
          <w:rFonts w:cs="Times New Roman"/>
          <w:szCs w:val="20"/>
        </w:rPr>
        <w:t xml:space="preserve"> doorgaans</w:t>
      </w:r>
      <w:r w:rsidR="00301C11">
        <w:rPr>
          <w:rFonts w:cs="Times New Roman"/>
          <w:szCs w:val="20"/>
        </w:rPr>
        <w:t xml:space="preserve"> gepaard gingen.</w:t>
      </w:r>
      <w:r w:rsidR="00301C11">
        <w:rPr>
          <w:rStyle w:val="Voetnootmarkering"/>
          <w:rFonts w:cs="Times New Roman"/>
          <w:szCs w:val="20"/>
        </w:rPr>
        <w:footnoteReference w:id="41"/>
      </w:r>
    </w:p>
    <w:p w:rsidR="00B7665A" w:rsidRDefault="00460C3F" w:rsidP="00B7665A">
      <w:pPr>
        <w:pStyle w:val="Lijstalinea"/>
        <w:numPr>
          <w:ilvl w:val="0"/>
          <w:numId w:val="3"/>
        </w:numPr>
        <w:spacing w:line="276" w:lineRule="auto"/>
        <w:rPr>
          <w:rFonts w:cs="Times New Roman"/>
          <w:szCs w:val="20"/>
        </w:rPr>
      </w:pPr>
      <w:bookmarkStart w:id="5" w:name="_Ref531339411"/>
      <w:r w:rsidRPr="00460C3F">
        <w:rPr>
          <w:rFonts w:cs="Times New Roman"/>
          <w:i/>
          <w:szCs w:val="20"/>
        </w:rPr>
        <w:t>Commercialisering</w:t>
      </w:r>
      <w:r>
        <w:rPr>
          <w:rFonts w:cs="Times New Roman"/>
          <w:szCs w:val="20"/>
        </w:rPr>
        <w:t xml:space="preserve"> </w:t>
      </w:r>
      <w:r w:rsidRPr="00485497">
        <w:rPr>
          <w:rFonts w:cs="Times New Roman"/>
          <w:szCs w:val="20"/>
        </w:rPr>
        <w:t>‒</w:t>
      </w:r>
      <w:r>
        <w:rPr>
          <w:rFonts w:cs="Times New Roman"/>
          <w:szCs w:val="20"/>
        </w:rPr>
        <w:t xml:space="preserve"> </w:t>
      </w:r>
      <w:r w:rsidR="00665B95" w:rsidRPr="001F3A8F">
        <w:rPr>
          <w:rFonts w:cs="Times New Roman"/>
          <w:szCs w:val="20"/>
        </w:rPr>
        <w:t xml:space="preserve">De FSMA heeft in haar eerste reglement </w:t>
      </w:r>
      <w:r w:rsidR="001F7FC8" w:rsidRPr="001F3A8F">
        <w:rPr>
          <w:rFonts w:cs="Times New Roman"/>
          <w:szCs w:val="20"/>
        </w:rPr>
        <w:t>de</w:t>
      </w:r>
      <w:r w:rsidR="00665B95" w:rsidRPr="001F3A8F">
        <w:rPr>
          <w:rFonts w:cs="Times New Roman"/>
          <w:szCs w:val="20"/>
        </w:rPr>
        <w:t xml:space="preserve"> term</w:t>
      </w:r>
      <w:r w:rsidR="001F7FC8" w:rsidRPr="001F3A8F">
        <w:rPr>
          <w:rFonts w:cs="Times New Roman"/>
          <w:szCs w:val="20"/>
        </w:rPr>
        <w:t xml:space="preserve"> ‘commercialisering’</w:t>
      </w:r>
      <w:r w:rsidR="00D44F5C">
        <w:rPr>
          <w:rFonts w:cs="Times New Roman"/>
          <w:szCs w:val="20"/>
        </w:rPr>
        <w:t xml:space="preserve"> (</w:t>
      </w:r>
      <w:r w:rsidR="00D44F5C" w:rsidRPr="00D44F5C">
        <w:rPr>
          <w:rFonts w:cs="Times New Roman"/>
          <w:i/>
          <w:szCs w:val="20"/>
        </w:rPr>
        <w:t>supra</w:t>
      </w:r>
      <w:r w:rsidR="00D44F5C">
        <w:rPr>
          <w:rFonts w:cs="Times New Roman"/>
          <w:szCs w:val="20"/>
        </w:rPr>
        <w:t xml:space="preserve"> </w:t>
      </w:r>
      <w:r w:rsidR="00D44F5C">
        <w:rPr>
          <w:rFonts w:cs="Times New Roman"/>
          <w:szCs w:val="20"/>
        </w:rPr>
        <w:fldChar w:fldCharType="begin"/>
      </w:r>
      <w:r w:rsidR="00D44F5C">
        <w:rPr>
          <w:rFonts w:cs="Times New Roman"/>
          <w:szCs w:val="20"/>
        </w:rPr>
        <w:instrText xml:space="preserve"> PAGEREF _Ref531357250 \h </w:instrText>
      </w:r>
      <w:r w:rsidR="00D44F5C">
        <w:rPr>
          <w:rFonts w:cs="Times New Roman"/>
          <w:szCs w:val="20"/>
        </w:rPr>
      </w:r>
      <w:r w:rsidR="00D44F5C">
        <w:rPr>
          <w:rFonts w:cs="Times New Roman"/>
          <w:szCs w:val="20"/>
        </w:rPr>
        <w:fldChar w:fldCharType="separate"/>
      </w:r>
      <w:r w:rsidR="00882805">
        <w:rPr>
          <w:rFonts w:cs="Times New Roman"/>
          <w:noProof/>
          <w:szCs w:val="20"/>
        </w:rPr>
        <w:t>7</w:t>
      </w:r>
      <w:r w:rsidR="00D44F5C">
        <w:rPr>
          <w:rFonts w:cs="Times New Roman"/>
          <w:szCs w:val="20"/>
        </w:rPr>
        <w:fldChar w:fldCharType="end"/>
      </w:r>
      <w:r w:rsidR="00D44F5C">
        <w:rPr>
          <w:rFonts w:cs="Times New Roman"/>
          <w:szCs w:val="20"/>
        </w:rPr>
        <w:t xml:space="preserve">, nr. </w:t>
      </w:r>
      <w:r w:rsidR="00D44F5C">
        <w:rPr>
          <w:rFonts w:cs="Times New Roman"/>
          <w:szCs w:val="20"/>
        </w:rPr>
        <w:fldChar w:fldCharType="begin"/>
      </w:r>
      <w:r w:rsidR="00D44F5C">
        <w:rPr>
          <w:rFonts w:cs="Times New Roman"/>
          <w:szCs w:val="20"/>
        </w:rPr>
        <w:instrText xml:space="preserve"> REF _Ref531357250 \r \h </w:instrText>
      </w:r>
      <w:r w:rsidR="00D44F5C">
        <w:rPr>
          <w:rFonts w:cs="Times New Roman"/>
          <w:szCs w:val="20"/>
        </w:rPr>
      </w:r>
      <w:r w:rsidR="00D44F5C">
        <w:rPr>
          <w:rFonts w:cs="Times New Roman"/>
          <w:szCs w:val="20"/>
        </w:rPr>
        <w:fldChar w:fldCharType="separate"/>
      </w:r>
      <w:r w:rsidR="00882805">
        <w:rPr>
          <w:rFonts w:cs="Times New Roman"/>
          <w:szCs w:val="20"/>
        </w:rPr>
        <w:t>7</w:t>
      </w:r>
      <w:r w:rsidR="00D44F5C">
        <w:rPr>
          <w:rFonts w:cs="Times New Roman"/>
          <w:szCs w:val="20"/>
        </w:rPr>
        <w:fldChar w:fldCharType="end"/>
      </w:r>
      <w:r w:rsidR="00D44F5C">
        <w:rPr>
          <w:rFonts w:cs="Times New Roman"/>
          <w:szCs w:val="20"/>
        </w:rPr>
        <w:t>)</w:t>
      </w:r>
      <w:r w:rsidR="006B1940">
        <w:rPr>
          <w:rFonts w:cs="Times New Roman"/>
          <w:szCs w:val="20"/>
        </w:rPr>
        <w:t xml:space="preserve"> verder geconcretiseerd</w:t>
      </w:r>
      <w:r w:rsidR="00665B95" w:rsidRPr="001F3A8F">
        <w:rPr>
          <w:rFonts w:cs="Times New Roman"/>
          <w:szCs w:val="20"/>
        </w:rPr>
        <w:t xml:space="preserve">. Zo </w:t>
      </w:r>
      <w:r w:rsidR="00763296" w:rsidRPr="001F3A8F">
        <w:rPr>
          <w:rFonts w:cs="Times New Roman"/>
          <w:szCs w:val="20"/>
        </w:rPr>
        <w:t>zou</w:t>
      </w:r>
      <w:r w:rsidR="00665B95" w:rsidRPr="001F3A8F">
        <w:rPr>
          <w:rFonts w:cs="Times New Roman"/>
          <w:szCs w:val="20"/>
        </w:rPr>
        <w:t xml:space="preserve"> iedere vorm van reclame een typisch voorbeeld</w:t>
      </w:r>
      <w:r w:rsidR="00763296" w:rsidRPr="001F3A8F">
        <w:rPr>
          <w:rFonts w:cs="Times New Roman"/>
          <w:szCs w:val="20"/>
        </w:rPr>
        <w:t xml:space="preserve"> zijn</w:t>
      </w:r>
      <w:r w:rsidR="00B7665A">
        <w:rPr>
          <w:rFonts w:cs="Times New Roman"/>
          <w:szCs w:val="20"/>
        </w:rPr>
        <w:t xml:space="preserve"> van commercialisering. </w:t>
      </w:r>
      <w:r w:rsidR="00665B95" w:rsidRPr="001F3A8F">
        <w:rPr>
          <w:rFonts w:cs="Times New Roman"/>
          <w:szCs w:val="20"/>
        </w:rPr>
        <w:t>Een voorwaarde is evenwel dat dit beroepshalve geschiedt, zowel door de aanbieder of uitgevende instelling als door een tussenpersoon. Vermogensbeheer houdt dan weer geen co</w:t>
      </w:r>
      <w:r w:rsidR="00746A1C">
        <w:rPr>
          <w:rFonts w:cs="Times New Roman"/>
          <w:szCs w:val="20"/>
        </w:rPr>
        <w:t xml:space="preserve">mmercialisering in aangezien </w:t>
      </w:r>
      <w:r w:rsidR="00665B95" w:rsidRPr="001F3A8F">
        <w:rPr>
          <w:rFonts w:cs="Times New Roman"/>
          <w:szCs w:val="20"/>
        </w:rPr>
        <w:t>de vermogensbeheer</w:t>
      </w:r>
      <w:r w:rsidR="0007006A">
        <w:rPr>
          <w:rFonts w:cs="Times New Roman"/>
          <w:szCs w:val="20"/>
        </w:rPr>
        <w:softHyphen/>
      </w:r>
      <w:r w:rsidR="00665B95" w:rsidRPr="001F3A8F">
        <w:rPr>
          <w:rFonts w:cs="Times New Roman"/>
          <w:szCs w:val="20"/>
        </w:rPr>
        <w:t>der</w:t>
      </w:r>
      <w:r w:rsidR="00746A1C" w:rsidRPr="00746A1C">
        <w:rPr>
          <w:rFonts w:cs="Times New Roman"/>
          <w:szCs w:val="20"/>
        </w:rPr>
        <w:t xml:space="preserve"> </w:t>
      </w:r>
      <w:r w:rsidR="00746A1C">
        <w:rPr>
          <w:rFonts w:cs="Times New Roman"/>
          <w:szCs w:val="20"/>
        </w:rPr>
        <w:t xml:space="preserve">de </w:t>
      </w:r>
      <w:r w:rsidR="00746A1C" w:rsidRPr="001F3A8F">
        <w:rPr>
          <w:rFonts w:cs="Times New Roman"/>
          <w:szCs w:val="20"/>
        </w:rPr>
        <w:t>beleggingsbeslissingen</w:t>
      </w:r>
      <w:r w:rsidR="00746A1C">
        <w:rPr>
          <w:rFonts w:cs="Times New Roman"/>
          <w:szCs w:val="20"/>
        </w:rPr>
        <w:t xml:space="preserve"> neemt</w:t>
      </w:r>
      <w:r w:rsidR="00665B95" w:rsidRPr="001F3A8F">
        <w:rPr>
          <w:rFonts w:cs="Times New Roman"/>
          <w:szCs w:val="20"/>
        </w:rPr>
        <w:t>.</w:t>
      </w:r>
      <w:r w:rsidR="00665B95">
        <w:rPr>
          <w:rStyle w:val="Voetnootmarkering"/>
          <w:rFonts w:cs="Times New Roman"/>
          <w:szCs w:val="20"/>
        </w:rPr>
        <w:footnoteReference w:id="42"/>
      </w:r>
      <w:r w:rsidR="00746A1C">
        <w:rPr>
          <w:rFonts w:cs="Times New Roman"/>
          <w:szCs w:val="20"/>
        </w:rPr>
        <w:t xml:space="preserve"> Dit laatste impliceert </w:t>
      </w:r>
      <w:r w:rsidR="00665B95" w:rsidRPr="001F3A8F">
        <w:rPr>
          <w:rFonts w:cs="Times New Roman"/>
          <w:szCs w:val="20"/>
        </w:rPr>
        <w:t xml:space="preserve">dat een transactie met betrekking tot een verboden product alsnog </w:t>
      </w:r>
      <w:r w:rsidR="006B1940">
        <w:rPr>
          <w:rFonts w:cs="Times New Roman"/>
          <w:szCs w:val="20"/>
        </w:rPr>
        <w:t>zou kunnen</w:t>
      </w:r>
      <w:r w:rsidR="00746A1C" w:rsidRPr="001F3A8F">
        <w:rPr>
          <w:rFonts w:cs="Times New Roman"/>
          <w:szCs w:val="20"/>
        </w:rPr>
        <w:t xml:space="preserve"> plaatsvinden</w:t>
      </w:r>
      <w:r w:rsidR="00746A1C">
        <w:rPr>
          <w:rFonts w:cs="Times New Roman"/>
          <w:szCs w:val="20"/>
        </w:rPr>
        <w:t xml:space="preserve"> </w:t>
      </w:r>
      <w:r w:rsidR="00665B95" w:rsidRPr="001F3A8F">
        <w:rPr>
          <w:rFonts w:cs="Times New Roman"/>
          <w:szCs w:val="20"/>
        </w:rPr>
        <w:t>in het kader van vermogensbeheer</w:t>
      </w:r>
      <w:r w:rsidR="00051A0D">
        <w:rPr>
          <w:rFonts w:cs="Times New Roman"/>
          <w:szCs w:val="20"/>
        </w:rPr>
        <w:t xml:space="preserve">. </w:t>
      </w:r>
      <w:r w:rsidR="0034743F">
        <w:rPr>
          <w:rFonts w:cs="Times New Roman"/>
          <w:szCs w:val="20"/>
        </w:rPr>
        <w:t>De</w:t>
      </w:r>
      <w:r w:rsidR="002E7108">
        <w:rPr>
          <w:rFonts w:cs="Times New Roman"/>
          <w:szCs w:val="20"/>
        </w:rPr>
        <w:t xml:space="preserve"> vermogensbeheerder</w:t>
      </w:r>
      <w:r w:rsidR="00E75C9A">
        <w:rPr>
          <w:rFonts w:cs="Times New Roman"/>
          <w:szCs w:val="20"/>
        </w:rPr>
        <w:t xml:space="preserve"> zal evenwel nog de </w:t>
      </w:r>
      <w:r w:rsidR="00051A0D" w:rsidRPr="004C69BE">
        <w:rPr>
          <w:rFonts w:cs="Times New Roman"/>
          <w:i/>
          <w:szCs w:val="20"/>
        </w:rPr>
        <w:t>suitability</w:t>
      </w:r>
      <w:r w:rsidR="00051A0D">
        <w:rPr>
          <w:rFonts w:cs="Times New Roman"/>
          <w:szCs w:val="20"/>
        </w:rPr>
        <w:t>-test</w:t>
      </w:r>
      <w:r w:rsidR="00801C50">
        <w:rPr>
          <w:rStyle w:val="Voetnootmarkering"/>
          <w:rFonts w:cs="Times New Roman"/>
          <w:szCs w:val="20"/>
        </w:rPr>
        <w:footnoteReference w:id="43"/>
      </w:r>
      <w:r w:rsidR="00051A0D">
        <w:rPr>
          <w:rFonts w:cs="Times New Roman"/>
          <w:szCs w:val="20"/>
        </w:rPr>
        <w:t xml:space="preserve"> </w:t>
      </w:r>
      <w:r w:rsidR="00E75C9A">
        <w:rPr>
          <w:rFonts w:cs="Times New Roman"/>
          <w:szCs w:val="20"/>
        </w:rPr>
        <w:t>moeten toepassen. Een financieel product dat algemeen gezien als ongeschikt is te be</w:t>
      </w:r>
      <w:r w:rsidR="0007006A">
        <w:rPr>
          <w:rFonts w:cs="Times New Roman"/>
          <w:szCs w:val="20"/>
        </w:rPr>
        <w:softHyphen/>
      </w:r>
      <w:r w:rsidR="00E75C9A">
        <w:rPr>
          <w:rFonts w:cs="Times New Roman"/>
          <w:szCs w:val="20"/>
        </w:rPr>
        <w:t>schouwen voor (een bepaalde categorie van) niet-</w:t>
      </w:r>
      <w:r w:rsidR="00E93E72">
        <w:rPr>
          <w:rFonts w:cs="Times New Roman"/>
          <w:szCs w:val="20"/>
        </w:rPr>
        <w:t xml:space="preserve">professionele beleggers zou desondanks </w:t>
      </w:r>
      <w:r w:rsidR="00E75C9A">
        <w:rPr>
          <w:rFonts w:cs="Times New Roman"/>
          <w:szCs w:val="20"/>
        </w:rPr>
        <w:t xml:space="preserve">geschikt </w:t>
      </w:r>
      <w:r w:rsidR="00E93E72">
        <w:rPr>
          <w:rFonts w:cs="Times New Roman"/>
          <w:szCs w:val="20"/>
        </w:rPr>
        <w:t>kunnen zijn</w:t>
      </w:r>
      <w:r w:rsidR="00E75C9A">
        <w:rPr>
          <w:rFonts w:cs="Times New Roman"/>
          <w:szCs w:val="20"/>
        </w:rPr>
        <w:t xml:space="preserve"> voor een belegger in kwestie</w:t>
      </w:r>
      <w:bookmarkEnd w:id="5"/>
      <w:r w:rsidR="00E75C9A">
        <w:rPr>
          <w:rFonts w:cs="Times New Roman"/>
          <w:szCs w:val="20"/>
        </w:rPr>
        <w:t>.</w:t>
      </w:r>
    </w:p>
    <w:p w:rsidR="00B7665A" w:rsidRDefault="00460C3F" w:rsidP="00B7665A">
      <w:pPr>
        <w:pStyle w:val="Lijstalinea"/>
        <w:numPr>
          <w:ilvl w:val="0"/>
          <w:numId w:val="3"/>
        </w:numPr>
        <w:spacing w:line="276" w:lineRule="auto"/>
        <w:rPr>
          <w:rFonts w:cs="Times New Roman"/>
          <w:szCs w:val="20"/>
        </w:rPr>
      </w:pPr>
      <w:bookmarkStart w:id="6" w:name="_Ref531339057"/>
      <w:r w:rsidRPr="00460C3F">
        <w:rPr>
          <w:rFonts w:cs="Times New Roman"/>
          <w:i/>
          <w:szCs w:val="20"/>
        </w:rPr>
        <w:t>Niet-professionele cliënt</w:t>
      </w:r>
      <w:r>
        <w:rPr>
          <w:rFonts w:cs="Times New Roman"/>
          <w:szCs w:val="20"/>
        </w:rPr>
        <w:t xml:space="preserve"> </w:t>
      </w:r>
      <w:r w:rsidRPr="00485497">
        <w:rPr>
          <w:rFonts w:cs="Times New Roman"/>
          <w:szCs w:val="20"/>
        </w:rPr>
        <w:t>‒</w:t>
      </w:r>
      <w:r>
        <w:rPr>
          <w:rFonts w:cs="Times New Roman"/>
          <w:szCs w:val="20"/>
        </w:rPr>
        <w:t xml:space="preserve"> </w:t>
      </w:r>
      <w:r w:rsidR="001E3B5B">
        <w:rPr>
          <w:rFonts w:cs="Times New Roman"/>
          <w:szCs w:val="20"/>
        </w:rPr>
        <w:t>Hetzelfde</w:t>
      </w:r>
      <w:r w:rsidR="00B7665A">
        <w:rPr>
          <w:rFonts w:cs="Times New Roman"/>
          <w:szCs w:val="20"/>
        </w:rPr>
        <w:t xml:space="preserve"> eerste reglement was van toepassing op de commercialisering aan niet-professionele cliënten overeenkomstig de </w:t>
      </w:r>
      <w:r w:rsidR="006B1940">
        <w:rPr>
          <w:rFonts w:cs="Times New Roman"/>
          <w:szCs w:val="20"/>
        </w:rPr>
        <w:t>begrenzing in</w:t>
      </w:r>
      <w:r w:rsidR="00B7665A">
        <w:rPr>
          <w:rFonts w:cs="Times New Roman"/>
          <w:szCs w:val="20"/>
        </w:rPr>
        <w:t xml:space="preserve"> artikel 30</w:t>
      </w:r>
      <w:r w:rsidR="00B7665A">
        <w:rPr>
          <w:rFonts w:cs="Times New Roman"/>
          <w:i/>
          <w:szCs w:val="20"/>
        </w:rPr>
        <w:t>bis</w:t>
      </w:r>
      <w:r w:rsidR="00664410">
        <w:rPr>
          <w:rFonts w:cs="Times New Roman"/>
          <w:szCs w:val="20"/>
        </w:rPr>
        <w:t>, eerste lid, 1°</w:t>
      </w:r>
      <w:r w:rsidR="00B7665A">
        <w:rPr>
          <w:rFonts w:cs="Times New Roman"/>
          <w:szCs w:val="20"/>
        </w:rPr>
        <w:t xml:space="preserve"> WFT.</w:t>
      </w:r>
      <w:r w:rsidR="00664410">
        <w:rPr>
          <w:rFonts w:cs="Times New Roman"/>
          <w:szCs w:val="20"/>
        </w:rPr>
        <w:t xml:space="preserve"> De commercialisering ten aanzien van professionele cliënten of in aanmerking komende tegenpartije</w:t>
      </w:r>
      <w:r w:rsidR="006B1940">
        <w:rPr>
          <w:rFonts w:cs="Times New Roman"/>
          <w:szCs w:val="20"/>
        </w:rPr>
        <w:t>n kan</w:t>
      </w:r>
      <w:r w:rsidR="00664410">
        <w:rPr>
          <w:rFonts w:cs="Times New Roman"/>
          <w:szCs w:val="20"/>
        </w:rPr>
        <w:t xml:space="preserve"> niet het voorwerp uitmaken van een productinterventie. Het begrip ‘niet-professionele cliënt’ is te hanteren als negatief criterium, waarbij de kwalificatie afhangt van het niet voldoen aan de voorwaarden om als professionele cliënt</w:t>
      </w:r>
      <w:r w:rsidR="00AE7E1A">
        <w:rPr>
          <w:rFonts w:cs="Times New Roman"/>
          <w:szCs w:val="20"/>
        </w:rPr>
        <w:t xml:space="preserve"> (art</w:t>
      </w:r>
      <w:r w:rsidR="009B0512">
        <w:rPr>
          <w:rFonts w:cs="Times New Roman"/>
          <w:szCs w:val="20"/>
        </w:rPr>
        <w:t>ikel</w:t>
      </w:r>
      <w:r w:rsidR="00AE7E1A">
        <w:rPr>
          <w:rFonts w:cs="Times New Roman"/>
          <w:szCs w:val="20"/>
        </w:rPr>
        <w:t xml:space="preserve"> 2, 29° WFT)</w:t>
      </w:r>
      <w:r w:rsidR="00664410">
        <w:rPr>
          <w:rFonts w:cs="Times New Roman"/>
          <w:szCs w:val="20"/>
        </w:rPr>
        <w:t>, dan wel in aanmerking komende tegenpartij</w:t>
      </w:r>
      <w:r w:rsidR="009B0512">
        <w:rPr>
          <w:rFonts w:cs="Times New Roman"/>
          <w:szCs w:val="20"/>
        </w:rPr>
        <w:t xml:space="preserve"> (artikel</w:t>
      </w:r>
      <w:r w:rsidR="00AE7E1A">
        <w:rPr>
          <w:rFonts w:cs="Times New Roman"/>
          <w:szCs w:val="20"/>
        </w:rPr>
        <w:t xml:space="preserve"> 2, 30° WFT)</w:t>
      </w:r>
      <w:r w:rsidR="00664410">
        <w:rPr>
          <w:rFonts w:cs="Times New Roman"/>
          <w:szCs w:val="20"/>
        </w:rPr>
        <w:t xml:space="preserve"> te kunnen worden beschouwd.</w:t>
      </w:r>
      <w:r w:rsidR="004A4628">
        <w:rPr>
          <w:rFonts w:cs="Times New Roman"/>
          <w:szCs w:val="20"/>
        </w:rPr>
        <w:t xml:space="preserve"> </w:t>
      </w:r>
      <w:r w:rsidR="00AE7E1A">
        <w:rPr>
          <w:rFonts w:cs="Times New Roman"/>
          <w:szCs w:val="20"/>
        </w:rPr>
        <w:t>Zeer summier gesteld</w:t>
      </w:r>
      <w:r w:rsidR="004A4628">
        <w:rPr>
          <w:rFonts w:cs="Times New Roman"/>
          <w:szCs w:val="20"/>
        </w:rPr>
        <w:t xml:space="preserve">, geeft </w:t>
      </w:r>
      <w:r w:rsidR="00AE7E1A">
        <w:rPr>
          <w:rFonts w:cs="Times New Roman"/>
          <w:szCs w:val="20"/>
        </w:rPr>
        <w:t xml:space="preserve">het KB van </w:t>
      </w:r>
      <w:r w:rsidR="0044646C">
        <w:rPr>
          <w:rFonts w:cs="Times New Roman"/>
          <w:szCs w:val="20"/>
        </w:rPr>
        <w:t>19 december 2017</w:t>
      </w:r>
      <w:r w:rsidR="0044646C">
        <w:rPr>
          <w:rStyle w:val="Voetnootmarkering"/>
          <w:rFonts w:cs="Times New Roman"/>
          <w:szCs w:val="20"/>
        </w:rPr>
        <w:footnoteReference w:id="44"/>
      </w:r>
      <w:r w:rsidR="0044646C">
        <w:rPr>
          <w:rFonts w:cs="Times New Roman"/>
          <w:szCs w:val="20"/>
        </w:rPr>
        <w:t xml:space="preserve"> </w:t>
      </w:r>
      <w:r w:rsidR="00AE7E1A">
        <w:rPr>
          <w:rFonts w:cs="Times New Roman"/>
          <w:szCs w:val="20"/>
        </w:rPr>
        <w:t>tot omzetting van MiFID II</w:t>
      </w:r>
      <w:r w:rsidR="0044646C">
        <w:rPr>
          <w:rStyle w:val="Voetnootmarkering"/>
          <w:rFonts w:cs="Times New Roman"/>
          <w:szCs w:val="20"/>
        </w:rPr>
        <w:footnoteReference w:id="45"/>
      </w:r>
      <w:r w:rsidR="0044646C">
        <w:rPr>
          <w:rFonts w:cs="Times New Roman"/>
          <w:szCs w:val="20"/>
        </w:rPr>
        <w:t xml:space="preserve"> </w:t>
      </w:r>
      <w:r w:rsidR="00AE7E1A">
        <w:rPr>
          <w:rFonts w:cs="Times New Roman"/>
          <w:szCs w:val="20"/>
        </w:rPr>
        <w:t>aan</w:t>
      </w:r>
      <w:r w:rsidR="004A4628">
        <w:rPr>
          <w:rFonts w:cs="Times New Roman"/>
          <w:szCs w:val="20"/>
        </w:rPr>
        <w:t xml:space="preserve"> dat </w:t>
      </w:r>
      <w:r w:rsidR="00D32611">
        <w:rPr>
          <w:rFonts w:cs="Times New Roman"/>
          <w:szCs w:val="20"/>
        </w:rPr>
        <w:t>‘</w:t>
      </w:r>
      <w:r w:rsidR="004A4628">
        <w:rPr>
          <w:rFonts w:cs="Times New Roman"/>
          <w:szCs w:val="20"/>
        </w:rPr>
        <w:t>professionele cliënten</w:t>
      </w:r>
      <w:r w:rsidR="00D32611">
        <w:rPr>
          <w:rFonts w:cs="Times New Roman"/>
          <w:szCs w:val="20"/>
        </w:rPr>
        <w:t>’</w:t>
      </w:r>
      <w:r w:rsidR="004A4628">
        <w:rPr>
          <w:rFonts w:cs="Times New Roman"/>
          <w:szCs w:val="20"/>
        </w:rPr>
        <w:t xml:space="preserve"> be</w:t>
      </w:r>
      <w:r w:rsidR="0007006A">
        <w:rPr>
          <w:rFonts w:cs="Times New Roman"/>
          <w:szCs w:val="20"/>
        </w:rPr>
        <w:softHyphen/>
      </w:r>
      <w:r w:rsidR="004A4628">
        <w:rPr>
          <w:rFonts w:cs="Times New Roman"/>
          <w:szCs w:val="20"/>
        </w:rPr>
        <w:t>paalde</w:t>
      </w:r>
      <w:r w:rsidR="00C958AC">
        <w:rPr>
          <w:rFonts w:cs="Times New Roman"/>
          <w:szCs w:val="20"/>
        </w:rPr>
        <w:t xml:space="preserve"> uitdrukkelijk genoemde</w:t>
      </w:r>
      <w:r w:rsidR="004A4628">
        <w:rPr>
          <w:rFonts w:cs="Times New Roman"/>
          <w:szCs w:val="20"/>
        </w:rPr>
        <w:t xml:space="preserve"> entiteiten (kredietinstellingen</w:t>
      </w:r>
      <w:r w:rsidR="00C958AC">
        <w:rPr>
          <w:rFonts w:cs="Times New Roman"/>
          <w:szCs w:val="20"/>
        </w:rPr>
        <w:t>, grote ondernemingen, overheden en overheidsin</w:t>
      </w:r>
      <w:r w:rsidR="0007006A">
        <w:rPr>
          <w:rFonts w:cs="Times New Roman"/>
          <w:szCs w:val="20"/>
        </w:rPr>
        <w:softHyphen/>
      </w:r>
      <w:r w:rsidR="00C958AC">
        <w:rPr>
          <w:rFonts w:cs="Times New Roman"/>
          <w:szCs w:val="20"/>
        </w:rPr>
        <w:t>stellingen of andere institutionele beleggers</w:t>
      </w:r>
      <w:r w:rsidR="004A4628">
        <w:rPr>
          <w:rFonts w:cs="Times New Roman"/>
          <w:szCs w:val="20"/>
        </w:rPr>
        <w:t>) zijn</w:t>
      </w:r>
      <w:r w:rsidR="00C958AC">
        <w:rPr>
          <w:rFonts w:cs="Times New Roman"/>
          <w:szCs w:val="20"/>
        </w:rPr>
        <w:t xml:space="preserve">, dan wel cliënten die aan bepaalde kwalitatieve, kwantitatieve en procedurele voorwaarden voldoen. </w:t>
      </w:r>
      <w:r w:rsidR="00A633E5">
        <w:rPr>
          <w:rFonts w:cs="Times New Roman"/>
          <w:szCs w:val="20"/>
        </w:rPr>
        <w:t xml:space="preserve">Deze werkwijze </w:t>
      </w:r>
      <w:r w:rsidR="006142DA">
        <w:rPr>
          <w:rFonts w:cs="Times New Roman"/>
          <w:szCs w:val="20"/>
        </w:rPr>
        <w:t>verschilt nauwelijks van</w:t>
      </w:r>
      <w:r w:rsidR="00C958AC">
        <w:rPr>
          <w:rFonts w:cs="Times New Roman"/>
          <w:szCs w:val="20"/>
        </w:rPr>
        <w:t xml:space="preserve"> </w:t>
      </w:r>
      <w:r w:rsidR="00AE7E1A">
        <w:rPr>
          <w:rFonts w:cs="Times New Roman"/>
          <w:szCs w:val="20"/>
        </w:rPr>
        <w:t xml:space="preserve">het </w:t>
      </w:r>
      <w:r w:rsidR="008B644D">
        <w:rPr>
          <w:rFonts w:cs="Times New Roman"/>
          <w:szCs w:val="20"/>
        </w:rPr>
        <w:t xml:space="preserve">inmiddels afgeschafte </w:t>
      </w:r>
      <w:r w:rsidR="00AE7E1A">
        <w:rPr>
          <w:rFonts w:cs="Times New Roman"/>
          <w:szCs w:val="20"/>
        </w:rPr>
        <w:t>KB van 3 juni 2007</w:t>
      </w:r>
      <w:r w:rsidR="00AE7E1A">
        <w:rPr>
          <w:rStyle w:val="Voetnootmarkering"/>
          <w:rFonts w:cs="Times New Roman"/>
          <w:szCs w:val="20"/>
        </w:rPr>
        <w:footnoteReference w:id="46"/>
      </w:r>
      <w:r w:rsidR="00AE7E1A">
        <w:rPr>
          <w:rFonts w:cs="Times New Roman"/>
          <w:szCs w:val="20"/>
        </w:rPr>
        <w:t xml:space="preserve"> tot omzetting van de</w:t>
      </w:r>
      <w:r w:rsidR="00C958AC">
        <w:rPr>
          <w:rFonts w:cs="Times New Roman"/>
          <w:szCs w:val="20"/>
        </w:rPr>
        <w:t xml:space="preserve"> eerste MiFID-richtlijn</w:t>
      </w:r>
      <w:r w:rsidR="00AE7E1A">
        <w:rPr>
          <w:rStyle w:val="Voetnootmarkering"/>
          <w:rFonts w:cs="Times New Roman"/>
          <w:szCs w:val="20"/>
        </w:rPr>
        <w:footnoteReference w:id="47"/>
      </w:r>
      <w:r w:rsidR="005F1826">
        <w:rPr>
          <w:rFonts w:cs="Times New Roman"/>
          <w:szCs w:val="20"/>
        </w:rPr>
        <w:t xml:space="preserve"> dat </w:t>
      </w:r>
      <w:r w:rsidR="00746A1C">
        <w:rPr>
          <w:rFonts w:cs="Times New Roman"/>
          <w:szCs w:val="20"/>
        </w:rPr>
        <w:t>tijdens het nemen van dit reglement van kracht was</w:t>
      </w:r>
      <w:r w:rsidR="006142DA">
        <w:rPr>
          <w:rFonts w:cs="Times New Roman"/>
          <w:szCs w:val="20"/>
        </w:rPr>
        <w:t xml:space="preserve">. </w:t>
      </w:r>
      <w:r w:rsidR="00D32611">
        <w:rPr>
          <w:rFonts w:cs="Times New Roman"/>
          <w:szCs w:val="20"/>
        </w:rPr>
        <w:t>‘</w:t>
      </w:r>
      <w:r w:rsidR="006142DA">
        <w:rPr>
          <w:rFonts w:cs="Times New Roman"/>
          <w:szCs w:val="20"/>
        </w:rPr>
        <w:t>In aanmerking komende tegenpartijen</w:t>
      </w:r>
      <w:r w:rsidR="00D32611">
        <w:rPr>
          <w:rFonts w:cs="Times New Roman"/>
          <w:szCs w:val="20"/>
        </w:rPr>
        <w:t>’</w:t>
      </w:r>
      <w:r w:rsidR="006142DA">
        <w:rPr>
          <w:rFonts w:cs="Times New Roman"/>
          <w:szCs w:val="20"/>
        </w:rPr>
        <w:t xml:space="preserve"> zijn </w:t>
      </w:r>
      <w:r w:rsidR="00AE7E1A">
        <w:rPr>
          <w:rFonts w:cs="Times New Roman"/>
          <w:szCs w:val="20"/>
        </w:rPr>
        <w:t xml:space="preserve">de </w:t>
      </w:r>
      <w:r w:rsidR="00E06032">
        <w:rPr>
          <w:rFonts w:cs="Times New Roman"/>
          <w:szCs w:val="20"/>
        </w:rPr>
        <w:t>in MiFID II</w:t>
      </w:r>
      <w:r w:rsidR="0081774B">
        <w:rPr>
          <w:rFonts w:cs="Times New Roman"/>
          <w:szCs w:val="20"/>
        </w:rPr>
        <w:t xml:space="preserve"> </w:t>
      </w:r>
      <w:r w:rsidR="00E06032">
        <w:rPr>
          <w:rFonts w:cs="Times New Roman"/>
          <w:szCs w:val="20"/>
        </w:rPr>
        <w:t>nader bepaalde financiële instellingen</w:t>
      </w:r>
      <w:r w:rsidR="00E06032">
        <w:rPr>
          <w:rStyle w:val="Voetnootmarkering"/>
          <w:rFonts w:cs="Times New Roman"/>
          <w:szCs w:val="20"/>
        </w:rPr>
        <w:footnoteReference w:id="48"/>
      </w:r>
      <w:r w:rsidR="007F6AA0">
        <w:rPr>
          <w:rFonts w:cs="Times New Roman"/>
          <w:szCs w:val="20"/>
        </w:rPr>
        <w:t xml:space="preserve"> (omgezet in </w:t>
      </w:r>
      <w:r w:rsidR="007F6AA0">
        <w:rPr>
          <w:rFonts w:cs="Times New Roman"/>
          <w:szCs w:val="20"/>
        </w:rPr>
        <w:lastRenderedPageBreak/>
        <w:t>artikel 3 KB van 19 december 2017).</w:t>
      </w:r>
      <w:r w:rsidR="00E06032">
        <w:rPr>
          <w:rFonts w:cs="Times New Roman"/>
          <w:szCs w:val="20"/>
        </w:rPr>
        <w:t xml:space="preserve"> Ook hier is slechts een b</w:t>
      </w:r>
      <w:r w:rsidR="00AE7E1A">
        <w:rPr>
          <w:rFonts w:cs="Times New Roman"/>
          <w:szCs w:val="20"/>
        </w:rPr>
        <w:t xml:space="preserve">eperkt inhoudelijk verschil met </w:t>
      </w:r>
      <w:r w:rsidR="00E06032">
        <w:rPr>
          <w:rFonts w:cs="Times New Roman"/>
          <w:szCs w:val="20"/>
        </w:rPr>
        <w:t>de eerste MiFID-richtlijn.</w:t>
      </w:r>
      <w:r w:rsidR="00E06032">
        <w:rPr>
          <w:rStyle w:val="Voetnootmarkering"/>
          <w:rFonts w:cs="Times New Roman"/>
          <w:szCs w:val="20"/>
        </w:rPr>
        <w:footnoteReference w:id="49"/>
      </w:r>
      <w:r w:rsidR="00552C92">
        <w:rPr>
          <w:rFonts w:cs="Times New Roman"/>
          <w:szCs w:val="20"/>
        </w:rPr>
        <w:t xml:space="preserve"> Ondanks </w:t>
      </w:r>
      <w:r w:rsidR="008B644D">
        <w:rPr>
          <w:rFonts w:cs="Times New Roman"/>
          <w:szCs w:val="20"/>
        </w:rPr>
        <w:t>deze inperking ten opzichte van het begrip ‘afnemers’,</w:t>
      </w:r>
      <w:r w:rsidR="00552C92">
        <w:rPr>
          <w:rFonts w:cs="Times New Roman"/>
          <w:szCs w:val="20"/>
        </w:rPr>
        <w:t xml:space="preserve"> kan met enige zekerheid worden </w:t>
      </w:r>
      <w:r w:rsidR="008B644D">
        <w:rPr>
          <w:rFonts w:cs="Times New Roman"/>
          <w:szCs w:val="20"/>
        </w:rPr>
        <w:t xml:space="preserve">gesteld </w:t>
      </w:r>
      <w:r w:rsidR="00552C92">
        <w:rPr>
          <w:rFonts w:cs="Times New Roman"/>
          <w:szCs w:val="20"/>
        </w:rPr>
        <w:t>dat niet-professionele cliën</w:t>
      </w:r>
      <w:r w:rsidR="008B644D">
        <w:rPr>
          <w:rFonts w:cs="Times New Roman"/>
          <w:szCs w:val="20"/>
        </w:rPr>
        <w:t xml:space="preserve">ten evenzeer </w:t>
      </w:r>
      <w:r w:rsidR="00F82119">
        <w:rPr>
          <w:rFonts w:cs="Times New Roman"/>
          <w:szCs w:val="20"/>
        </w:rPr>
        <w:t xml:space="preserve">een </w:t>
      </w:r>
      <w:r w:rsidR="008B644D">
        <w:rPr>
          <w:rFonts w:cs="Times New Roman"/>
          <w:szCs w:val="20"/>
        </w:rPr>
        <w:t>zeer ruim</w:t>
      </w:r>
      <w:r w:rsidR="00F82119">
        <w:rPr>
          <w:rFonts w:cs="Times New Roman"/>
          <w:szCs w:val="20"/>
        </w:rPr>
        <w:t>e categorie van afnemers inhoudt</w:t>
      </w:r>
      <w:r w:rsidR="008B644D">
        <w:rPr>
          <w:rFonts w:cs="Times New Roman"/>
          <w:szCs w:val="20"/>
        </w:rPr>
        <w:t>.</w:t>
      </w:r>
      <w:bookmarkEnd w:id="6"/>
    </w:p>
    <w:p w:rsidR="00552C92" w:rsidRPr="00EE642C" w:rsidRDefault="00460C3F" w:rsidP="00253E6B">
      <w:pPr>
        <w:pStyle w:val="Lijstalinea"/>
        <w:numPr>
          <w:ilvl w:val="0"/>
          <w:numId w:val="3"/>
        </w:numPr>
        <w:spacing w:line="276" w:lineRule="auto"/>
        <w:rPr>
          <w:rFonts w:cs="Times New Roman"/>
          <w:szCs w:val="20"/>
        </w:rPr>
      </w:pPr>
      <w:bookmarkStart w:id="7" w:name="_Ref531339153"/>
      <w:r w:rsidRPr="00460C3F">
        <w:rPr>
          <w:rFonts w:cs="Times New Roman"/>
          <w:i/>
          <w:szCs w:val="20"/>
        </w:rPr>
        <w:t>Consument</w:t>
      </w:r>
      <w:r>
        <w:rPr>
          <w:rFonts w:cs="Times New Roman"/>
          <w:szCs w:val="20"/>
        </w:rPr>
        <w:t xml:space="preserve"> </w:t>
      </w:r>
      <w:r w:rsidRPr="00485497">
        <w:rPr>
          <w:rFonts w:cs="Times New Roman"/>
          <w:szCs w:val="20"/>
        </w:rPr>
        <w:t>‒</w:t>
      </w:r>
      <w:r>
        <w:rPr>
          <w:rFonts w:cs="Times New Roman"/>
          <w:szCs w:val="20"/>
        </w:rPr>
        <w:t xml:space="preserve"> De FSMA </w:t>
      </w:r>
      <w:r w:rsidR="00746A1C">
        <w:rPr>
          <w:rFonts w:cs="Times New Roman"/>
          <w:szCs w:val="20"/>
        </w:rPr>
        <w:t>hanteerde</w:t>
      </w:r>
      <w:r>
        <w:rPr>
          <w:rFonts w:cs="Times New Roman"/>
          <w:szCs w:val="20"/>
        </w:rPr>
        <w:t xml:space="preserve"> in haar tweede reglement </w:t>
      </w:r>
      <w:r w:rsidR="005F1826">
        <w:rPr>
          <w:rFonts w:cs="Times New Roman"/>
          <w:szCs w:val="20"/>
        </w:rPr>
        <w:t>echter</w:t>
      </w:r>
      <w:r>
        <w:rPr>
          <w:rFonts w:cs="Times New Roman"/>
          <w:szCs w:val="20"/>
        </w:rPr>
        <w:t xml:space="preserve"> een </w:t>
      </w:r>
      <w:r w:rsidR="008B644D">
        <w:rPr>
          <w:rFonts w:cs="Times New Roman"/>
          <w:szCs w:val="20"/>
        </w:rPr>
        <w:t xml:space="preserve">nog </w:t>
      </w:r>
      <w:r>
        <w:rPr>
          <w:rFonts w:cs="Times New Roman"/>
          <w:szCs w:val="20"/>
        </w:rPr>
        <w:t>enger personeel toepassingsgebied.</w:t>
      </w:r>
      <w:r w:rsidR="006142DA">
        <w:rPr>
          <w:rFonts w:cs="Times New Roman"/>
          <w:szCs w:val="20"/>
        </w:rPr>
        <w:t xml:space="preserve"> </w:t>
      </w:r>
      <w:r w:rsidR="006142DA" w:rsidRPr="00C20F46">
        <w:rPr>
          <w:rFonts w:cstheme="minorHAnsi"/>
        </w:rPr>
        <w:t>Waar het ontwerp van dit reglement initieel van toepassing was op de commercialisering aan niet-professionele cliënten, werd na advies van de</w:t>
      </w:r>
      <w:r w:rsidR="00D32611">
        <w:rPr>
          <w:rFonts w:cstheme="minorHAnsi"/>
        </w:rPr>
        <w:t xml:space="preserve"> toenmalige</w:t>
      </w:r>
      <w:r w:rsidR="006142DA" w:rsidRPr="00C20F46">
        <w:rPr>
          <w:rFonts w:cstheme="minorHAnsi"/>
        </w:rPr>
        <w:t xml:space="preserve"> Raad voor het Verbruik</w:t>
      </w:r>
      <w:r w:rsidR="006142DA">
        <w:rPr>
          <w:rStyle w:val="Voetnootmarkering"/>
          <w:rFonts w:cstheme="minorHAnsi"/>
        </w:rPr>
        <w:footnoteReference w:id="50"/>
      </w:r>
      <w:r w:rsidR="006142DA" w:rsidRPr="00C20F46">
        <w:rPr>
          <w:rFonts w:cstheme="minorHAnsi"/>
        </w:rPr>
        <w:t xml:space="preserve"> het toepassingsgebied beperkt to</w:t>
      </w:r>
      <w:r w:rsidR="005F1826">
        <w:rPr>
          <w:rFonts w:cstheme="minorHAnsi"/>
        </w:rPr>
        <w:t>t consumen</w:t>
      </w:r>
      <w:r w:rsidR="0007006A">
        <w:rPr>
          <w:rFonts w:cstheme="minorHAnsi"/>
        </w:rPr>
        <w:softHyphen/>
      </w:r>
      <w:r w:rsidR="005F1826">
        <w:rPr>
          <w:rFonts w:cstheme="minorHAnsi"/>
        </w:rPr>
        <w:t>ten in de zin van artikel</w:t>
      </w:r>
      <w:r w:rsidR="006142DA" w:rsidRPr="00C20F46">
        <w:rPr>
          <w:rFonts w:cstheme="minorHAnsi"/>
        </w:rPr>
        <w:t xml:space="preserve"> I.1, eerste lid, 2° WER</w:t>
      </w:r>
      <w:r w:rsidR="006142DA">
        <w:rPr>
          <w:rFonts w:cstheme="minorHAnsi"/>
        </w:rPr>
        <w:t>.</w:t>
      </w:r>
      <w:r w:rsidR="00552C92">
        <w:rPr>
          <w:rFonts w:cstheme="minorHAnsi"/>
        </w:rPr>
        <w:t xml:space="preserve"> De vrees bestond immers dat een personeel toepassingsgebied van commercialisering aan niet-professionele cliënten</w:t>
      </w:r>
      <w:r w:rsidR="00F77716">
        <w:rPr>
          <w:rFonts w:cstheme="minorHAnsi"/>
        </w:rPr>
        <w:t xml:space="preserve"> </w:t>
      </w:r>
      <w:r w:rsidR="00370577">
        <w:rPr>
          <w:rFonts w:cstheme="minorHAnsi"/>
        </w:rPr>
        <w:t>disproportionele</w:t>
      </w:r>
      <w:r w:rsidR="00F77716">
        <w:rPr>
          <w:rFonts w:cstheme="minorHAnsi"/>
        </w:rPr>
        <w:t xml:space="preserve"> gevolgen met zich kon meebrengen voor de markt.</w:t>
      </w:r>
      <w:r w:rsidR="00552C92">
        <w:rPr>
          <w:rFonts w:cstheme="minorHAnsi"/>
        </w:rPr>
        <w:t xml:space="preserve"> Dergelijke wijziging van het personeel toepassingsgebied langs de kant van de afnemers lijkt </w:t>
      </w:r>
      <w:r w:rsidR="00F77716">
        <w:rPr>
          <w:rFonts w:cstheme="minorHAnsi"/>
        </w:rPr>
        <w:t>mogelijk</w:t>
      </w:r>
      <w:r w:rsidR="007F6AA0">
        <w:rPr>
          <w:rFonts w:cstheme="minorHAnsi"/>
        </w:rPr>
        <w:t xml:space="preserve"> </w:t>
      </w:r>
      <w:r w:rsidR="00552C92">
        <w:rPr>
          <w:rFonts w:cstheme="minorHAnsi"/>
        </w:rPr>
        <w:t>zolang deze enkel een inperking tot gevolg heeft.</w:t>
      </w:r>
      <w:r w:rsidR="00D779CE">
        <w:rPr>
          <w:rFonts w:cstheme="minorHAnsi"/>
        </w:rPr>
        <w:t xml:space="preserve"> Mochten </w:t>
      </w:r>
      <w:r w:rsidR="000C1F4C">
        <w:rPr>
          <w:rFonts w:cstheme="minorHAnsi"/>
        </w:rPr>
        <w:t>daardoor bijvoorbeeld</w:t>
      </w:r>
      <w:r w:rsidR="00D779CE">
        <w:rPr>
          <w:rFonts w:cstheme="minorHAnsi"/>
        </w:rPr>
        <w:t xml:space="preserve"> ook kredietnemers onder het personeel toepassingsgebied</w:t>
      </w:r>
      <w:r w:rsidR="00C46269">
        <w:rPr>
          <w:rFonts w:cstheme="minorHAnsi"/>
        </w:rPr>
        <w:t xml:space="preserve"> van een reglement</w:t>
      </w:r>
      <w:r w:rsidR="00D779CE">
        <w:rPr>
          <w:rFonts w:cstheme="minorHAnsi"/>
        </w:rPr>
        <w:t xml:space="preserve"> vallen, </w:t>
      </w:r>
      <w:r w:rsidR="005C1EE2">
        <w:rPr>
          <w:rFonts w:cstheme="minorHAnsi"/>
        </w:rPr>
        <w:t xml:space="preserve">dan </w:t>
      </w:r>
      <w:r w:rsidR="00D779CE">
        <w:rPr>
          <w:rFonts w:cstheme="minorHAnsi"/>
        </w:rPr>
        <w:t>zou de wijziging</w:t>
      </w:r>
      <w:r w:rsidR="000C1F4C">
        <w:rPr>
          <w:rFonts w:cstheme="minorHAnsi"/>
        </w:rPr>
        <w:t xml:space="preserve"> </w:t>
      </w:r>
      <w:r w:rsidR="00D779CE">
        <w:rPr>
          <w:rFonts w:cstheme="minorHAnsi"/>
        </w:rPr>
        <w:t xml:space="preserve">in strijd zijn met het </w:t>
      </w:r>
      <w:r w:rsidR="005C1EE2">
        <w:rPr>
          <w:rFonts w:cstheme="minorHAnsi"/>
        </w:rPr>
        <w:t>concept</w:t>
      </w:r>
      <w:r w:rsidR="00D779CE">
        <w:rPr>
          <w:rFonts w:cstheme="minorHAnsi"/>
        </w:rPr>
        <w:t xml:space="preserve"> afnemers </w:t>
      </w:r>
      <w:r w:rsidR="005C1EE2">
        <w:rPr>
          <w:rFonts w:cstheme="minorHAnsi"/>
        </w:rPr>
        <w:t>van financiële producten.</w:t>
      </w:r>
      <w:bookmarkEnd w:id="7"/>
    </w:p>
    <w:p w:rsidR="00EE642C" w:rsidRPr="00EE642C" w:rsidRDefault="00EE642C" w:rsidP="00EE642C">
      <w:pPr>
        <w:spacing w:line="276" w:lineRule="auto"/>
        <w:rPr>
          <w:rFonts w:cs="Times New Roman"/>
          <w:b/>
          <w:szCs w:val="20"/>
        </w:rPr>
      </w:pPr>
      <w:r w:rsidRPr="00EE642C">
        <w:rPr>
          <w:rFonts w:cs="Times New Roman"/>
          <w:b/>
          <w:szCs w:val="20"/>
        </w:rPr>
        <w:t>2.</w:t>
      </w:r>
      <w:r>
        <w:rPr>
          <w:rFonts w:cs="Times New Roman"/>
          <w:b/>
          <w:szCs w:val="20"/>
        </w:rPr>
        <w:t xml:space="preserve"> </w:t>
      </w:r>
      <w:r w:rsidR="008A67AD">
        <w:rPr>
          <w:rFonts w:cs="Times New Roman"/>
          <w:b/>
          <w:szCs w:val="20"/>
        </w:rPr>
        <w:t>Verhouding</w:t>
      </w:r>
      <w:r w:rsidR="00F52C88">
        <w:rPr>
          <w:rFonts w:cs="Times New Roman"/>
          <w:b/>
          <w:szCs w:val="20"/>
        </w:rPr>
        <w:t xml:space="preserve"> </w:t>
      </w:r>
      <w:r w:rsidR="008A67AD">
        <w:rPr>
          <w:rFonts w:cs="Times New Roman"/>
          <w:b/>
          <w:szCs w:val="20"/>
        </w:rPr>
        <w:t>tot de Europeesrechtelijke interventieregimes</w:t>
      </w:r>
    </w:p>
    <w:p w:rsidR="009372A2" w:rsidRDefault="001245C2" w:rsidP="00867248">
      <w:pPr>
        <w:pStyle w:val="Lijstalinea"/>
        <w:numPr>
          <w:ilvl w:val="0"/>
          <w:numId w:val="3"/>
        </w:numPr>
        <w:spacing w:line="276" w:lineRule="auto"/>
        <w:rPr>
          <w:rFonts w:cs="Times New Roman"/>
          <w:szCs w:val="20"/>
        </w:rPr>
      </w:pPr>
      <w:bookmarkStart w:id="8" w:name="_Ref533153099"/>
      <w:r>
        <w:rPr>
          <w:rFonts w:cs="Times New Roman"/>
          <w:i/>
          <w:szCs w:val="20"/>
        </w:rPr>
        <w:t>Naar een strenger productinterventieregime</w:t>
      </w:r>
      <w:r w:rsidR="00C46269">
        <w:rPr>
          <w:rFonts w:cs="Times New Roman"/>
          <w:szCs w:val="20"/>
        </w:rPr>
        <w:t xml:space="preserve"> </w:t>
      </w:r>
      <w:r w:rsidR="00C46269" w:rsidRPr="00485497">
        <w:rPr>
          <w:rFonts w:cs="Times New Roman"/>
          <w:szCs w:val="20"/>
        </w:rPr>
        <w:t>‒</w:t>
      </w:r>
      <w:r w:rsidR="00C46269">
        <w:rPr>
          <w:rFonts w:cs="Times New Roman"/>
          <w:szCs w:val="20"/>
        </w:rPr>
        <w:t xml:space="preserve"> </w:t>
      </w:r>
      <w:r w:rsidR="001F7FC8" w:rsidRPr="003C552F">
        <w:rPr>
          <w:rFonts w:cs="Times New Roman"/>
          <w:szCs w:val="20"/>
        </w:rPr>
        <w:t xml:space="preserve">Nu op Europeesrechtelijk niveau </w:t>
      </w:r>
      <w:r w:rsidR="006B2C08" w:rsidRPr="003C552F">
        <w:rPr>
          <w:rFonts w:cs="Times New Roman"/>
          <w:szCs w:val="20"/>
        </w:rPr>
        <w:t>een geharmoniseerd interven</w:t>
      </w:r>
      <w:r w:rsidR="0007006A">
        <w:rPr>
          <w:rFonts w:cs="Times New Roman"/>
          <w:szCs w:val="20"/>
        </w:rPr>
        <w:softHyphen/>
      </w:r>
      <w:r w:rsidR="006B2C08" w:rsidRPr="003C552F">
        <w:rPr>
          <w:rFonts w:cs="Times New Roman"/>
          <w:szCs w:val="20"/>
        </w:rPr>
        <w:t xml:space="preserve">tieregime </w:t>
      </w:r>
      <w:r w:rsidR="00D32611">
        <w:rPr>
          <w:rFonts w:cs="Times New Roman"/>
          <w:szCs w:val="20"/>
        </w:rPr>
        <w:t>bestaat</w:t>
      </w:r>
      <w:r w:rsidR="006B2C08" w:rsidRPr="003C552F">
        <w:rPr>
          <w:rFonts w:cs="Times New Roman"/>
          <w:szCs w:val="20"/>
        </w:rPr>
        <w:t xml:space="preserve">, lijkt een laatste stap ingezet binnen </w:t>
      </w:r>
      <w:r w:rsidR="00552C92" w:rsidRPr="003C552F">
        <w:rPr>
          <w:rFonts w:cs="Times New Roman"/>
          <w:szCs w:val="20"/>
        </w:rPr>
        <w:t>een evolutie van een vrijwillige nationale maatregel naar geharmoniseerde dwingende maatregelen</w:t>
      </w:r>
      <w:r w:rsidR="006B2C08" w:rsidRPr="003C552F">
        <w:rPr>
          <w:rFonts w:cs="Times New Roman"/>
          <w:szCs w:val="20"/>
        </w:rPr>
        <w:t>. De Belgische wetgever heeft ervoor gekozen om artikel 30</w:t>
      </w:r>
      <w:r w:rsidR="006B2C08" w:rsidRPr="003C552F">
        <w:rPr>
          <w:rFonts w:cs="Times New Roman"/>
          <w:i/>
          <w:szCs w:val="20"/>
        </w:rPr>
        <w:t>bis</w:t>
      </w:r>
      <w:r w:rsidR="00F77716" w:rsidRPr="003C552F">
        <w:rPr>
          <w:rFonts w:cs="Times New Roman"/>
          <w:szCs w:val="20"/>
        </w:rPr>
        <w:t xml:space="preserve"> WFT te laten verder bestaan </w:t>
      </w:r>
      <w:r w:rsidR="005418E8" w:rsidRPr="003C552F">
        <w:rPr>
          <w:rFonts w:cs="Times New Roman"/>
          <w:szCs w:val="20"/>
        </w:rPr>
        <w:t xml:space="preserve">omdat </w:t>
      </w:r>
      <w:r w:rsidR="0080073E">
        <w:rPr>
          <w:rFonts w:cs="Times New Roman"/>
          <w:szCs w:val="20"/>
        </w:rPr>
        <w:t>dit wetsartikel</w:t>
      </w:r>
      <w:r w:rsidR="005418E8" w:rsidRPr="003C552F">
        <w:rPr>
          <w:rFonts w:cs="Times New Roman"/>
          <w:szCs w:val="20"/>
        </w:rPr>
        <w:t xml:space="preserve"> een ruimer materieel toepassingsgebied </w:t>
      </w:r>
      <w:r w:rsidR="003A2096">
        <w:rPr>
          <w:rFonts w:cs="Times New Roman"/>
          <w:szCs w:val="20"/>
        </w:rPr>
        <w:t>zou hebben</w:t>
      </w:r>
      <w:r w:rsidR="005418E8" w:rsidRPr="003C552F">
        <w:rPr>
          <w:rFonts w:cs="Times New Roman"/>
          <w:szCs w:val="20"/>
        </w:rPr>
        <w:t xml:space="preserve"> dan de geharmoni</w:t>
      </w:r>
      <w:r w:rsidR="0007006A">
        <w:rPr>
          <w:rFonts w:cs="Times New Roman"/>
          <w:szCs w:val="20"/>
        </w:rPr>
        <w:softHyphen/>
      </w:r>
      <w:r w:rsidR="005418E8" w:rsidRPr="003C552F">
        <w:rPr>
          <w:rFonts w:cs="Times New Roman"/>
          <w:szCs w:val="20"/>
        </w:rPr>
        <w:t xml:space="preserve">seerde interventieregimes in MiFIR. Bovendien heeft MiFIR </w:t>
      </w:r>
      <w:r w:rsidR="00ED5BA1">
        <w:rPr>
          <w:rFonts w:cs="Times New Roman"/>
          <w:szCs w:val="20"/>
        </w:rPr>
        <w:t xml:space="preserve">volgens de wetgever </w:t>
      </w:r>
      <w:r w:rsidR="005418E8" w:rsidRPr="003C552F">
        <w:rPr>
          <w:rFonts w:cs="Times New Roman"/>
          <w:szCs w:val="20"/>
        </w:rPr>
        <w:t>geen terugwerkende kracht, waardoor de genomen reglementen van kracht kunnen blijven</w:t>
      </w:r>
      <w:r w:rsidR="000247B6">
        <w:rPr>
          <w:rFonts w:cs="Times New Roman"/>
          <w:szCs w:val="20"/>
        </w:rPr>
        <w:t xml:space="preserve"> (</w:t>
      </w:r>
      <w:r w:rsidR="000247B6" w:rsidRPr="000247B6">
        <w:rPr>
          <w:rFonts w:cs="Times New Roman"/>
          <w:i/>
          <w:szCs w:val="20"/>
        </w:rPr>
        <w:t>infra</w:t>
      </w:r>
      <w:r w:rsidR="000247B6">
        <w:rPr>
          <w:rFonts w:cs="Times New Roman"/>
          <w:szCs w:val="20"/>
        </w:rPr>
        <w:t xml:space="preserve"> </w:t>
      </w:r>
      <w:r w:rsidR="000247B6">
        <w:rPr>
          <w:rFonts w:cs="Times New Roman"/>
          <w:szCs w:val="20"/>
        </w:rPr>
        <w:fldChar w:fldCharType="begin"/>
      </w:r>
      <w:r w:rsidR="000247B6">
        <w:rPr>
          <w:rFonts w:cs="Times New Roman"/>
          <w:szCs w:val="20"/>
        </w:rPr>
        <w:instrText xml:space="preserve"> PAGEREF _Ref533151842 \h </w:instrText>
      </w:r>
      <w:r w:rsidR="000247B6">
        <w:rPr>
          <w:rFonts w:cs="Times New Roman"/>
          <w:szCs w:val="20"/>
        </w:rPr>
      </w:r>
      <w:r w:rsidR="000247B6">
        <w:rPr>
          <w:rFonts w:cs="Times New Roman"/>
          <w:szCs w:val="20"/>
        </w:rPr>
        <w:fldChar w:fldCharType="separate"/>
      </w:r>
      <w:r w:rsidR="000247B6">
        <w:rPr>
          <w:rFonts w:cs="Times New Roman"/>
          <w:noProof/>
          <w:szCs w:val="20"/>
        </w:rPr>
        <w:t>11</w:t>
      </w:r>
      <w:r w:rsidR="000247B6">
        <w:rPr>
          <w:rFonts w:cs="Times New Roman"/>
          <w:szCs w:val="20"/>
        </w:rPr>
        <w:fldChar w:fldCharType="end"/>
      </w:r>
      <w:r w:rsidR="000247B6">
        <w:rPr>
          <w:rFonts w:cs="Times New Roman"/>
          <w:szCs w:val="20"/>
        </w:rPr>
        <w:t xml:space="preserve"> nr. </w:t>
      </w:r>
      <w:r w:rsidR="000247B6">
        <w:rPr>
          <w:rFonts w:cs="Times New Roman"/>
          <w:szCs w:val="20"/>
        </w:rPr>
        <w:fldChar w:fldCharType="begin"/>
      </w:r>
      <w:r w:rsidR="000247B6">
        <w:rPr>
          <w:rFonts w:cs="Times New Roman"/>
          <w:szCs w:val="20"/>
        </w:rPr>
        <w:instrText xml:space="preserve"> REF _Ref533151842 \r \h </w:instrText>
      </w:r>
      <w:r w:rsidR="000247B6">
        <w:rPr>
          <w:rFonts w:cs="Times New Roman"/>
          <w:szCs w:val="20"/>
        </w:rPr>
      </w:r>
      <w:r w:rsidR="000247B6">
        <w:rPr>
          <w:rFonts w:cs="Times New Roman"/>
          <w:szCs w:val="20"/>
        </w:rPr>
        <w:fldChar w:fldCharType="separate"/>
      </w:r>
      <w:r w:rsidR="000247B6">
        <w:rPr>
          <w:rFonts w:cs="Times New Roman"/>
          <w:szCs w:val="20"/>
        </w:rPr>
        <w:t>15</w:t>
      </w:r>
      <w:r w:rsidR="000247B6">
        <w:rPr>
          <w:rFonts w:cs="Times New Roman"/>
          <w:szCs w:val="20"/>
        </w:rPr>
        <w:fldChar w:fldCharType="end"/>
      </w:r>
      <w:r w:rsidR="000247B6">
        <w:rPr>
          <w:rFonts w:cs="Times New Roman"/>
          <w:szCs w:val="20"/>
        </w:rPr>
        <w:t>)</w:t>
      </w:r>
      <w:r w:rsidR="005418E8" w:rsidRPr="003C552F">
        <w:rPr>
          <w:rFonts w:cs="Times New Roman"/>
          <w:szCs w:val="20"/>
        </w:rPr>
        <w:t xml:space="preserve"> en </w:t>
      </w:r>
      <w:r w:rsidR="000C1F4C">
        <w:rPr>
          <w:rFonts w:cs="Times New Roman"/>
          <w:szCs w:val="20"/>
        </w:rPr>
        <w:t>hun</w:t>
      </w:r>
      <w:r w:rsidR="005418E8" w:rsidRPr="003C552F">
        <w:rPr>
          <w:rFonts w:cs="Times New Roman"/>
          <w:szCs w:val="20"/>
        </w:rPr>
        <w:t xml:space="preserve"> wettelijke grondslag daar</w:t>
      </w:r>
      <w:r w:rsidR="000C1F4C">
        <w:rPr>
          <w:rFonts w:cs="Times New Roman"/>
          <w:szCs w:val="20"/>
        </w:rPr>
        <w:t>om</w:t>
      </w:r>
      <w:r w:rsidR="001676FB" w:rsidRPr="003C552F">
        <w:rPr>
          <w:rFonts w:cs="Times New Roman"/>
          <w:szCs w:val="20"/>
        </w:rPr>
        <w:t xml:space="preserve"> </w:t>
      </w:r>
      <w:r w:rsidR="005418E8" w:rsidRPr="003C552F">
        <w:rPr>
          <w:rFonts w:cs="Times New Roman"/>
          <w:szCs w:val="20"/>
        </w:rPr>
        <w:t>moet worden behouden.</w:t>
      </w:r>
      <w:r w:rsidR="005418E8">
        <w:rPr>
          <w:rStyle w:val="Voetnootmarkering"/>
          <w:rFonts w:cs="Times New Roman"/>
          <w:szCs w:val="20"/>
        </w:rPr>
        <w:footnoteReference w:id="51"/>
      </w:r>
      <w:r w:rsidR="001676FB" w:rsidRPr="003C552F">
        <w:rPr>
          <w:rFonts w:cs="Times New Roman"/>
          <w:szCs w:val="20"/>
        </w:rPr>
        <w:t xml:space="preserve"> De geharmoniseerde interventieregimes in MiFIR </w:t>
      </w:r>
      <w:r w:rsidR="003A2096">
        <w:rPr>
          <w:rFonts w:cs="Times New Roman"/>
          <w:szCs w:val="20"/>
        </w:rPr>
        <w:t>zijn de volgende</w:t>
      </w:r>
      <w:r w:rsidR="001676FB" w:rsidRPr="003C552F">
        <w:rPr>
          <w:rFonts w:cs="Times New Roman"/>
          <w:szCs w:val="20"/>
        </w:rPr>
        <w:t>. Uniewijd kan</w:t>
      </w:r>
      <w:r w:rsidR="00D25E0F">
        <w:rPr>
          <w:rFonts w:cs="Times New Roman"/>
          <w:szCs w:val="20"/>
        </w:rPr>
        <w:t xml:space="preserve"> de</w:t>
      </w:r>
      <w:r w:rsidR="001676FB" w:rsidRPr="003C552F">
        <w:rPr>
          <w:rFonts w:cs="Times New Roman"/>
          <w:szCs w:val="20"/>
        </w:rPr>
        <w:t xml:space="preserve"> </w:t>
      </w:r>
      <w:r w:rsidR="00D25E0F">
        <w:rPr>
          <w:rFonts w:cs="Times New Roman"/>
          <w:szCs w:val="20"/>
        </w:rPr>
        <w:t>EBA</w:t>
      </w:r>
      <w:r w:rsidR="001676FB" w:rsidRPr="003C552F">
        <w:rPr>
          <w:rFonts w:cs="Times New Roman"/>
          <w:szCs w:val="20"/>
        </w:rPr>
        <w:t xml:space="preserve"> een verbod of beperkingen instellen ten aanzien van gestructureerde de</w:t>
      </w:r>
      <w:r w:rsidR="003A2096">
        <w:rPr>
          <w:rFonts w:cs="Times New Roman"/>
          <w:szCs w:val="20"/>
        </w:rPr>
        <w:t>posito’s</w:t>
      </w:r>
      <w:r w:rsidR="001676FB">
        <w:rPr>
          <w:rStyle w:val="Voetnootmarkering"/>
          <w:rFonts w:cs="Times New Roman"/>
          <w:szCs w:val="20"/>
        </w:rPr>
        <w:footnoteReference w:id="52"/>
      </w:r>
      <w:r w:rsidR="001676FB" w:rsidRPr="003C552F">
        <w:rPr>
          <w:rFonts w:cs="Times New Roman"/>
          <w:szCs w:val="20"/>
        </w:rPr>
        <w:t xml:space="preserve"> en de </w:t>
      </w:r>
      <w:r w:rsidR="00D25E0F" w:rsidRPr="00D25E0F">
        <w:rPr>
          <w:rFonts w:cs="Times New Roman"/>
          <w:szCs w:val="20"/>
        </w:rPr>
        <w:t>ESMA</w:t>
      </w:r>
      <w:r w:rsidR="001676FB" w:rsidRPr="003C552F">
        <w:rPr>
          <w:rFonts w:cs="Times New Roman"/>
          <w:szCs w:val="20"/>
        </w:rPr>
        <w:t xml:space="preserve"> kan hetzelfde ten aanzien van financiële instrumenten</w:t>
      </w:r>
      <w:r w:rsidR="001676FB">
        <w:rPr>
          <w:rStyle w:val="Voetnootmarkering"/>
          <w:rFonts w:cs="Times New Roman"/>
          <w:szCs w:val="20"/>
        </w:rPr>
        <w:footnoteReference w:id="53"/>
      </w:r>
      <w:r w:rsidR="001676FB" w:rsidRPr="003C552F">
        <w:rPr>
          <w:rFonts w:cs="Times New Roman"/>
          <w:szCs w:val="20"/>
        </w:rPr>
        <w:t>.</w:t>
      </w:r>
      <w:r w:rsidR="00224604">
        <w:rPr>
          <w:rFonts w:cs="Times New Roman"/>
          <w:szCs w:val="20"/>
        </w:rPr>
        <w:t xml:space="preserve"> De duur van deze </w:t>
      </w:r>
      <w:r w:rsidR="0080073E">
        <w:rPr>
          <w:rFonts w:cs="Times New Roman"/>
          <w:szCs w:val="20"/>
        </w:rPr>
        <w:t>interventie</w:t>
      </w:r>
      <w:r w:rsidR="00224604">
        <w:rPr>
          <w:rFonts w:cs="Times New Roman"/>
          <w:szCs w:val="20"/>
        </w:rPr>
        <w:t>maatregelen is</w:t>
      </w:r>
      <w:r w:rsidR="00CE5A13">
        <w:rPr>
          <w:rFonts w:cs="Times New Roman"/>
          <w:szCs w:val="20"/>
        </w:rPr>
        <w:t xml:space="preserve"> telkens</w:t>
      </w:r>
      <w:r w:rsidR="00224604">
        <w:rPr>
          <w:rFonts w:cs="Times New Roman"/>
          <w:szCs w:val="20"/>
        </w:rPr>
        <w:t xml:space="preserve"> beperkt tot drie maanden.</w:t>
      </w:r>
      <w:r w:rsidR="003A61BE">
        <w:rPr>
          <w:rStyle w:val="Voetnootmarkering"/>
          <w:rFonts w:cs="Times New Roman"/>
          <w:szCs w:val="20"/>
        </w:rPr>
        <w:footnoteReference w:id="54"/>
      </w:r>
      <w:r w:rsidR="001676FB" w:rsidRPr="003C552F">
        <w:rPr>
          <w:rFonts w:cs="Times New Roman"/>
          <w:szCs w:val="20"/>
        </w:rPr>
        <w:t xml:space="preserve"> Ook de nationale</w:t>
      </w:r>
      <w:r w:rsidR="0066682C" w:rsidRPr="003C552F">
        <w:rPr>
          <w:rFonts w:cs="Times New Roman"/>
          <w:szCs w:val="20"/>
        </w:rPr>
        <w:t xml:space="preserve"> financiële</w:t>
      </w:r>
      <w:r w:rsidR="001676FB" w:rsidRPr="003C552F">
        <w:rPr>
          <w:rFonts w:cs="Times New Roman"/>
          <w:szCs w:val="20"/>
        </w:rPr>
        <w:t xml:space="preserve"> toezichthouders kunnen dergelijke productinterventi</w:t>
      </w:r>
      <w:r w:rsidR="003A2096">
        <w:rPr>
          <w:rFonts w:cs="Times New Roman"/>
          <w:szCs w:val="20"/>
        </w:rPr>
        <w:t xml:space="preserve">es </w:t>
      </w:r>
      <w:r w:rsidR="00D25E0F">
        <w:rPr>
          <w:rFonts w:cs="Times New Roman"/>
          <w:szCs w:val="20"/>
        </w:rPr>
        <w:t>opleggen</w:t>
      </w:r>
      <w:r w:rsidR="003A2096">
        <w:rPr>
          <w:rFonts w:cs="Times New Roman"/>
          <w:szCs w:val="20"/>
        </w:rPr>
        <w:t xml:space="preserve"> binnen hun lidstaat</w:t>
      </w:r>
      <w:r w:rsidR="005F1826">
        <w:rPr>
          <w:rFonts w:cs="Times New Roman"/>
          <w:szCs w:val="20"/>
        </w:rPr>
        <w:t xml:space="preserve"> </w:t>
      </w:r>
      <w:r w:rsidR="001676FB" w:rsidRPr="003C552F">
        <w:rPr>
          <w:rFonts w:cs="Times New Roman"/>
          <w:szCs w:val="20"/>
        </w:rPr>
        <w:t>conform de voorwaarden van het geharmoniseerde regime</w:t>
      </w:r>
      <w:r w:rsidR="00224604">
        <w:rPr>
          <w:rFonts w:cs="Times New Roman"/>
          <w:szCs w:val="20"/>
        </w:rPr>
        <w:t xml:space="preserve">, </w:t>
      </w:r>
      <w:r w:rsidR="005F1826">
        <w:rPr>
          <w:rFonts w:cs="Times New Roman"/>
          <w:szCs w:val="20"/>
        </w:rPr>
        <w:t>maar</w:t>
      </w:r>
      <w:r w:rsidR="000C1F4C">
        <w:rPr>
          <w:rFonts w:cs="Times New Roman"/>
          <w:szCs w:val="20"/>
        </w:rPr>
        <w:t xml:space="preserve"> dan</w:t>
      </w:r>
      <w:r w:rsidR="00224604">
        <w:rPr>
          <w:rFonts w:cs="Times New Roman"/>
          <w:szCs w:val="20"/>
        </w:rPr>
        <w:t xml:space="preserve"> zonder een beperking in de duur</w:t>
      </w:r>
      <w:r w:rsidR="0007006A">
        <w:rPr>
          <w:rFonts w:cs="Times New Roman"/>
          <w:szCs w:val="20"/>
        </w:rPr>
        <w:softHyphen/>
      </w:r>
      <w:r w:rsidR="00224604">
        <w:rPr>
          <w:rFonts w:cs="Times New Roman"/>
          <w:szCs w:val="20"/>
        </w:rPr>
        <w:t>tijd</w:t>
      </w:r>
      <w:r w:rsidR="001676FB" w:rsidRPr="003C552F">
        <w:rPr>
          <w:rFonts w:cs="Times New Roman"/>
          <w:szCs w:val="20"/>
        </w:rPr>
        <w:t>.</w:t>
      </w:r>
      <w:r w:rsidR="001676FB">
        <w:rPr>
          <w:rStyle w:val="Voetnootmarkering"/>
          <w:rFonts w:cs="Times New Roman"/>
          <w:szCs w:val="20"/>
        </w:rPr>
        <w:footnoteReference w:id="55"/>
      </w:r>
      <w:r w:rsidR="0066682C" w:rsidRPr="003C552F">
        <w:rPr>
          <w:rFonts w:cs="Times New Roman"/>
          <w:szCs w:val="20"/>
        </w:rPr>
        <w:t xml:space="preserve"> </w:t>
      </w:r>
      <w:r w:rsidR="003A61BE">
        <w:rPr>
          <w:rFonts w:cs="Times New Roman"/>
          <w:szCs w:val="20"/>
        </w:rPr>
        <w:t xml:space="preserve">De voorwaarden </w:t>
      </w:r>
      <w:r w:rsidR="00D32611">
        <w:rPr>
          <w:rFonts w:cs="Times New Roman"/>
          <w:szCs w:val="20"/>
        </w:rPr>
        <w:t xml:space="preserve">om </w:t>
      </w:r>
      <w:r w:rsidR="003A61BE">
        <w:rPr>
          <w:rFonts w:cs="Times New Roman"/>
          <w:szCs w:val="20"/>
        </w:rPr>
        <w:t xml:space="preserve">tot productinterventie </w:t>
      </w:r>
      <w:r w:rsidR="00D32611">
        <w:rPr>
          <w:rFonts w:cs="Times New Roman"/>
          <w:szCs w:val="20"/>
        </w:rPr>
        <w:t>over te gaan</w:t>
      </w:r>
      <w:r w:rsidR="003A61BE">
        <w:rPr>
          <w:rFonts w:cs="Times New Roman"/>
          <w:szCs w:val="20"/>
        </w:rPr>
        <w:t xml:space="preserve"> zijn in </w:t>
      </w:r>
      <w:r w:rsidR="00D32611">
        <w:rPr>
          <w:rFonts w:cs="Times New Roman"/>
          <w:szCs w:val="20"/>
        </w:rPr>
        <w:t>beide</w:t>
      </w:r>
      <w:r w:rsidR="00B5130D">
        <w:rPr>
          <w:rFonts w:cs="Times New Roman"/>
          <w:szCs w:val="20"/>
        </w:rPr>
        <w:t xml:space="preserve"> regimes </w:t>
      </w:r>
      <w:r w:rsidR="003A61BE">
        <w:rPr>
          <w:rFonts w:cs="Times New Roman"/>
          <w:szCs w:val="20"/>
        </w:rPr>
        <w:t>gelijklopend. De productinter</w:t>
      </w:r>
      <w:r w:rsidR="0007006A">
        <w:rPr>
          <w:rFonts w:cs="Times New Roman"/>
          <w:szCs w:val="20"/>
        </w:rPr>
        <w:softHyphen/>
      </w:r>
      <w:r w:rsidR="003A61BE">
        <w:rPr>
          <w:rFonts w:cs="Times New Roman"/>
          <w:szCs w:val="20"/>
        </w:rPr>
        <w:t xml:space="preserve">ventie moet </w:t>
      </w:r>
      <w:r w:rsidR="00B5130D">
        <w:rPr>
          <w:rFonts w:cs="Times New Roman"/>
          <w:szCs w:val="20"/>
        </w:rPr>
        <w:t xml:space="preserve">in essentie </w:t>
      </w:r>
      <w:r w:rsidR="003A61BE">
        <w:rPr>
          <w:rFonts w:cs="Times New Roman"/>
          <w:szCs w:val="20"/>
        </w:rPr>
        <w:t>tot doel hebben een significante reden tot bezorgdheid over beleggersbescherming</w:t>
      </w:r>
      <w:r w:rsidR="00B5130D">
        <w:rPr>
          <w:rFonts w:cs="Times New Roman"/>
          <w:szCs w:val="20"/>
        </w:rPr>
        <w:t xml:space="preserve"> </w:t>
      </w:r>
      <w:r w:rsidR="009372A2">
        <w:rPr>
          <w:rFonts w:cs="Times New Roman"/>
          <w:szCs w:val="20"/>
        </w:rPr>
        <w:t>af te wenden</w:t>
      </w:r>
      <w:r w:rsidR="00B5130D">
        <w:rPr>
          <w:rFonts w:cs="Times New Roman"/>
          <w:szCs w:val="20"/>
        </w:rPr>
        <w:t xml:space="preserve"> of</w:t>
      </w:r>
      <w:r w:rsidR="003A61BE">
        <w:rPr>
          <w:rFonts w:cs="Times New Roman"/>
          <w:szCs w:val="20"/>
        </w:rPr>
        <w:t xml:space="preserve"> </w:t>
      </w:r>
      <w:r w:rsidR="00B5130D">
        <w:rPr>
          <w:rFonts w:cs="Times New Roman"/>
          <w:szCs w:val="20"/>
        </w:rPr>
        <w:t>een bedreiging van het</w:t>
      </w:r>
      <w:r w:rsidR="003A61BE">
        <w:rPr>
          <w:rFonts w:cs="Times New Roman"/>
          <w:szCs w:val="20"/>
        </w:rPr>
        <w:t xml:space="preserve"> ordelijk functioneren of de stabiliteit van de financiële markten</w:t>
      </w:r>
      <w:r w:rsidR="00B5130D">
        <w:rPr>
          <w:rFonts w:cs="Times New Roman"/>
          <w:szCs w:val="20"/>
        </w:rPr>
        <w:t xml:space="preserve"> te verhelpen. Het bestaande Unierecht of maatregelen van </w:t>
      </w:r>
      <w:r w:rsidR="00D32611">
        <w:rPr>
          <w:rFonts w:cs="Times New Roman"/>
          <w:szCs w:val="20"/>
        </w:rPr>
        <w:t>nationale</w:t>
      </w:r>
      <w:r w:rsidR="00B5130D">
        <w:rPr>
          <w:rFonts w:cs="Times New Roman"/>
          <w:szCs w:val="20"/>
        </w:rPr>
        <w:t xml:space="preserve"> autoriteiten</w:t>
      </w:r>
      <w:r w:rsidR="00D32611">
        <w:rPr>
          <w:rStyle w:val="Voetnootmarkering"/>
          <w:rFonts w:cs="Times New Roman"/>
          <w:szCs w:val="20"/>
        </w:rPr>
        <w:footnoteReference w:id="56"/>
      </w:r>
      <w:r w:rsidR="00B5130D">
        <w:rPr>
          <w:rFonts w:cs="Times New Roman"/>
          <w:szCs w:val="20"/>
        </w:rPr>
        <w:t xml:space="preserve"> zijn daarbij niet in staat hieraan tegemoet te komen. </w:t>
      </w:r>
      <w:r w:rsidR="009372A2">
        <w:rPr>
          <w:rFonts w:cs="Times New Roman"/>
          <w:szCs w:val="20"/>
        </w:rPr>
        <w:t>De financiële toezichthouders moeten ook letten</w:t>
      </w:r>
      <w:r w:rsidR="00B5130D">
        <w:rPr>
          <w:rFonts w:cs="Times New Roman"/>
          <w:szCs w:val="20"/>
        </w:rPr>
        <w:t xml:space="preserve"> op de proportionaliteit van de maatregel en </w:t>
      </w:r>
      <w:r w:rsidR="009372A2">
        <w:rPr>
          <w:rFonts w:cs="Times New Roman"/>
          <w:szCs w:val="20"/>
        </w:rPr>
        <w:t>het vermijden van</w:t>
      </w:r>
      <w:r w:rsidR="00B5130D">
        <w:rPr>
          <w:rFonts w:cs="Times New Roman"/>
          <w:szCs w:val="20"/>
        </w:rPr>
        <w:t xml:space="preserve"> risico</w:t>
      </w:r>
      <w:r w:rsidR="009372A2">
        <w:rPr>
          <w:rFonts w:cs="Times New Roman"/>
          <w:szCs w:val="20"/>
        </w:rPr>
        <w:t>’s op reguleringsarbitrage</w:t>
      </w:r>
      <w:r w:rsidR="00B5130D">
        <w:rPr>
          <w:rFonts w:cs="Times New Roman"/>
          <w:szCs w:val="20"/>
        </w:rPr>
        <w:t>.</w:t>
      </w:r>
      <w:r w:rsidR="005F1826">
        <w:rPr>
          <w:rStyle w:val="Voetnootmarkering"/>
          <w:rFonts w:cs="Times New Roman"/>
          <w:szCs w:val="20"/>
        </w:rPr>
        <w:footnoteReference w:id="57"/>
      </w:r>
      <w:bookmarkEnd w:id="8"/>
    </w:p>
    <w:p w:rsidR="001F7FC8" w:rsidRPr="001245C2" w:rsidRDefault="001245C2" w:rsidP="001245C2">
      <w:pPr>
        <w:pStyle w:val="Lijstalinea"/>
        <w:numPr>
          <w:ilvl w:val="0"/>
          <w:numId w:val="3"/>
        </w:numPr>
        <w:spacing w:line="276" w:lineRule="auto"/>
        <w:rPr>
          <w:rFonts w:cs="Times New Roman"/>
          <w:szCs w:val="20"/>
        </w:rPr>
      </w:pPr>
      <w:r w:rsidRPr="001245C2">
        <w:rPr>
          <w:rFonts w:cs="Times New Roman"/>
          <w:i/>
          <w:szCs w:val="20"/>
        </w:rPr>
        <w:t>Zijn productinterventies naar Belgisch recht nog mogelijk?</w:t>
      </w:r>
      <w:r>
        <w:rPr>
          <w:rFonts w:cs="Times New Roman"/>
          <w:szCs w:val="20"/>
        </w:rPr>
        <w:t xml:space="preserve"> </w:t>
      </w:r>
      <w:r w:rsidRPr="00485497">
        <w:rPr>
          <w:rFonts w:cs="Times New Roman"/>
          <w:szCs w:val="20"/>
        </w:rPr>
        <w:t>‒</w:t>
      </w:r>
      <w:r>
        <w:rPr>
          <w:rFonts w:cs="Times New Roman"/>
          <w:szCs w:val="20"/>
        </w:rPr>
        <w:t xml:space="preserve"> </w:t>
      </w:r>
      <w:r w:rsidR="00B5130D" w:rsidRPr="001245C2">
        <w:rPr>
          <w:rFonts w:cs="Times New Roman"/>
          <w:szCs w:val="20"/>
        </w:rPr>
        <w:t>Deze voorwaarden zijn duidelijk strenger dan wat artikel 30</w:t>
      </w:r>
      <w:r w:rsidR="00B5130D" w:rsidRPr="001245C2">
        <w:rPr>
          <w:rFonts w:cs="Times New Roman"/>
          <w:i/>
          <w:szCs w:val="20"/>
        </w:rPr>
        <w:t>bis</w:t>
      </w:r>
      <w:r w:rsidR="00B5130D" w:rsidRPr="001245C2">
        <w:rPr>
          <w:rFonts w:cs="Times New Roman"/>
          <w:szCs w:val="20"/>
        </w:rPr>
        <w:t xml:space="preserve"> </w:t>
      </w:r>
      <w:r w:rsidR="009C08C4" w:rsidRPr="001245C2">
        <w:rPr>
          <w:rFonts w:cs="Times New Roman"/>
          <w:szCs w:val="20"/>
        </w:rPr>
        <w:t xml:space="preserve">WFT </w:t>
      </w:r>
      <w:r w:rsidR="00B5130D" w:rsidRPr="001245C2">
        <w:rPr>
          <w:rFonts w:cs="Times New Roman"/>
          <w:szCs w:val="20"/>
        </w:rPr>
        <w:t>vereist.</w:t>
      </w:r>
      <w:r w:rsidR="003A61BE" w:rsidRPr="001245C2">
        <w:rPr>
          <w:rFonts w:cs="Times New Roman"/>
          <w:szCs w:val="20"/>
        </w:rPr>
        <w:t xml:space="preserve"> </w:t>
      </w:r>
      <w:r w:rsidR="0066682C" w:rsidRPr="001245C2">
        <w:rPr>
          <w:rFonts w:cs="Times New Roman"/>
          <w:szCs w:val="20"/>
        </w:rPr>
        <w:t xml:space="preserve">Wanneer een financieel product dus te kwalificeren is als een financieel instrument of een gestructureerd deposito, </w:t>
      </w:r>
      <w:r w:rsidR="00D25E0F" w:rsidRPr="001245C2">
        <w:rPr>
          <w:rFonts w:cs="Times New Roman"/>
          <w:szCs w:val="20"/>
        </w:rPr>
        <w:t xml:space="preserve">dan </w:t>
      </w:r>
      <w:r w:rsidR="0066682C" w:rsidRPr="001245C2">
        <w:rPr>
          <w:rFonts w:cs="Times New Roman"/>
          <w:szCs w:val="20"/>
        </w:rPr>
        <w:t>zal de FSMA de</w:t>
      </w:r>
      <w:r w:rsidR="00A92FE2" w:rsidRPr="001245C2">
        <w:rPr>
          <w:rFonts w:cs="Times New Roman"/>
          <w:szCs w:val="20"/>
        </w:rPr>
        <w:t>ze</w:t>
      </w:r>
      <w:r w:rsidR="0066682C" w:rsidRPr="001245C2">
        <w:rPr>
          <w:rFonts w:cs="Times New Roman"/>
          <w:szCs w:val="20"/>
        </w:rPr>
        <w:t xml:space="preserve"> voorwaarden van het MiFIR</w:t>
      </w:r>
      <w:r w:rsidR="000C1F4C" w:rsidRPr="001245C2">
        <w:rPr>
          <w:rFonts w:cs="Times New Roman"/>
          <w:szCs w:val="20"/>
        </w:rPr>
        <w:t>-</w:t>
      </w:r>
      <w:r w:rsidR="0066682C" w:rsidRPr="001245C2">
        <w:rPr>
          <w:rFonts w:cs="Times New Roman"/>
          <w:szCs w:val="20"/>
        </w:rPr>
        <w:t xml:space="preserve">regime moeten naleven. Valt </w:t>
      </w:r>
      <w:r w:rsidR="00CA60A1" w:rsidRPr="001245C2">
        <w:rPr>
          <w:rFonts w:cs="Times New Roman"/>
          <w:szCs w:val="20"/>
        </w:rPr>
        <w:t>een</w:t>
      </w:r>
      <w:r w:rsidR="009C08C4" w:rsidRPr="001245C2">
        <w:rPr>
          <w:rFonts w:cs="Times New Roman"/>
          <w:szCs w:val="20"/>
        </w:rPr>
        <w:t xml:space="preserve"> </w:t>
      </w:r>
      <w:r w:rsidR="00CA60A1" w:rsidRPr="001245C2">
        <w:rPr>
          <w:rFonts w:cs="Times New Roman"/>
          <w:szCs w:val="20"/>
        </w:rPr>
        <w:t xml:space="preserve">financieel </w:t>
      </w:r>
      <w:r w:rsidR="009C08C4" w:rsidRPr="001245C2">
        <w:rPr>
          <w:rFonts w:cs="Times New Roman"/>
          <w:szCs w:val="20"/>
        </w:rPr>
        <w:t>product</w:t>
      </w:r>
      <w:r w:rsidR="0066682C" w:rsidRPr="001245C2">
        <w:rPr>
          <w:rFonts w:cs="Times New Roman"/>
          <w:szCs w:val="20"/>
        </w:rPr>
        <w:t xml:space="preserve"> </w:t>
      </w:r>
      <w:r w:rsidR="00CA60A1" w:rsidRPr="001245C2">
        <w:rPr>
          <w:rFonts w:cs="Times New Roman"/>
          <w:szCs w:val="20"/>
        </w:rPr>
        <w:t>buiten dit materieel toepassingsgebied</w:t>
      </w:r>
      <w:r w:rsidR="0066682C" w:rsidRPr="001245C2">
        <w:rPr>
          <w:rFonts w:cs="Times New Roman"/>
          <w:szCs w:val="20"/>
        </w:rPr>
        <w:t>, dan is het regime van artikel 30</w:t>
      </w:r>
      <w:r w:rsidR="0066682C" w:rsidRPr="001245C2">
        <w:rPr>
          <w:rFonts w:cs="Times New Roman"/>
          <w:i/>
          <w:szCs w:val="20"/>
        </w:rPr>
        <w:t>bis</w:t>
      </w:r>
      <w:r w:rsidR="0066682C" w:rsidRPr="001245C2">
        <w:rPr>
          <w:rFonts w:cs="Times New Roman"/>
          <w:szCs w:val="20"/>
        </w:rPr>
        <w:t xml:space="preserve"> WFT alsnog van toepassing. De vraag rijst uiteraard welke reikwijdte </w:t>
      </w:r>
      <w:r w:rsidR="009372A2" w:rsidRPr="001245C2">
        <w:rPr>
          <w:rFonts w:cs="Times New Roman"/>
          <w:szCs w:val="20"/>
        </w:rPr>
        <w:t xml:space="preserve">deze eerste bevoegdheid van </w:t>
      </w:r>
      <w:r w:rsidR="0066682C" w:rsidRPr="001245C2">
        <w:rPr>
          <w:rFonts w:cs="Times New Roman"/>
          <w:szCs w:val="20"/>
        </w:rPr>
        <w:t xml:space="preserve">het becommentarieerde </w:t>
      </w:r>
      <w:r w:rsidR="009C08C4" w:rsidRPr="001245C2">
        <w:rPr>
          <w:rFonts w:cs="Times New Roman"/>
          <w:szCs w:val="20"/>
        </w:rPr>
        <w:t>wets</w:t>
      </w:r>
      <w:r w:rsidR="0066682C" w:rsidRPr="001245C2">
        <w:rPr>
          <w:rFonts w:cs="Times New Roman"/>
          <w:szCs w:val="20"/>
        </w:rPr>
        <w:t>ar</w:t>
      </w:r>
      <w:r w:rsidR="0007006A">
        <w:rPr>
          <w:rFonts w:cs="Times New Roman"/>
          <w:szCs w:val="20"/>
        </w:rPr>
        <w:softHyphen/>
      </w:r>
      <w:r w:rsidR="0066682C" w:rsidRPr="001245C2">
        <w:rPr>
          <w:rFonts w:cs="Times New Roman"/>
          <w:szCs w:val="20"/>
        </w:rPr>
        <w:t xml:space="preserve">tikel überhaupt nog kan hebben. Onder </w:t>
      </w:r>
      <w:r w:rsidR="00D25E0F" w:rsidRPr="001245C2">
        <w:rPr>
          <w:rFonts w:cs="Times New Roman"/>
          <w:szCs w:val="20"/>
        </w:rPr>
        <w:t xml:space="preserve">de noemer </w:t>
      </w:r>
      <w:r w:rsidR="0066682C" w:rsidRPr="001245C2">
        <w:rPr>
          <w:rFonts w:cs="Times New Roman"/>
          <w:szCs w:val="20"/>
        </w:rPr>
        <w:t>‘financiële instrumenten’ val</w:t>
      </w:r>
      <w:r w:rsidR="00D25E0F" w:rsidRPr="001245C2">
        <w:rPr>
          <w:rFonts w:cs="Times New Roman"/>
          <w:szCs w:val="20"/>
        </w:rPr>
        <w:t>t</w:t>
      </w:r>
      <w:r w:rsidR="0066682C" w:rsidRPr="001245C2">
        <w:rPr>
          <w:rFonts w:cs="Times New Roman"/>
          <w:szCs w:val="20"/>
        </w:rPr>
        <w:t xml:space="preserve"> immers een brede waaier aan financiële producten die </w:t>
      </w:r>
      <w:r w:rsidR="009C08C4" w:rsidRPr="001245C2">
        <w:rPr>
          <w:rFonts w:cs="Times New Roman"/>
          <w:szCs w:val="20"/>
        </w:rPr>
        <w:t>in</w:t>
      </w:r>
      <w:r w:rsidR="00A92FE2" w:rsidRPr="001245C2">
        <w:rPr>
          <w:rFonts w:cs="Times New Roman"/>
          <w:szCs w:val="20"/>
        </w:rPr>
        <w:t xml:space="preserve"> </w:t>
      </w:r>
      <w:r w:rsidR="0066682C" w:rsidRPr="001245C2">
        <w:rPr>
          <w:rFonts w:cs="Times New Roman"/>
          <w:szCs w:val="20"/>
        </w:rPr>
        <w:t xml:space="preserve">MiFID II </w:t>
      </w:r>
      <w:r w:rsidR="00A92FE2" w:rsidRPr="001245C2">
        <w:rPr>
          <w:rFonts w:cs="Times New Roman"/>
          <w:szCs w:val="20"/>
        </w:rPr>
        <w:t>worden opgesomd</w:t>
      </w:r>
      <w:r w:rsidR="0066682C" w:rsidRPr="001245C2">
        <w:rPr>
          <w:rFonts w:cs="Times New Roman"/>
          <w:szCs w:val="20"/>
        </w:rPr>
        <w:t xml:space="preserve">. </w:t>
      </w:r>
      <w:r w:rsidR="00F7268F" w:rsidRPr="001245C2">
        <w:rPr>
          <w:rFonts w:cs="Times New Roman"/>
          <w:szCs w:val="20"/>
        </w:rPr>
        <w:t>Productinterventie ten aanzien van effecten, geldmarkt</w:t>
      </w:r>
      <w:r w:rsidR="0007006A">
        <w:rPr>
          <w:rFonts w:cs="Times New Roman"/>
          <w:szCs w:val="20"/>
        </w:rPr>
        <w:softHyphen/>
      </w:r>
      <w:r w:rsidR="00F7268F" w:rsidRPr="001245C2">
        <w:rPr>
          <w:rFonts w:cs="Times New Roman"/>
          <w:szCs w:val="20"/>
        </w:rPr>
        <w:lastRenderedPageBreak/>
        <w:t>instrumenten (</w:t>
      </w:r>
      <w:r w:rsidR="003A2096" w:rsidRPr="001245C2">
        <w:rPr>
          <w:rFonts w:cs="Times New Roman"/>
          <w:szCs w:val="20"/>
        </w:rPr>
        <w:t xml:space="preserve">bijvoorbeeld </w:t>
      </w:r>
      <w:r w:rsidR="00F7268F" w:rsidRPr="001245C2">
        <w:rPr>
          <w:rFonts w:cs="Times New Roman"/>
          <w:szCs w:val="20"/>
        </w:rPr>
        <w:t xml:space="preserve">spaarrekeningen) en allerhande derivatencontracten </w:t>
      </w:r>
      <w:r w:rsidR="007F6AA0" w:rsidRPr="001245C2">
        <w:rPr>
          <w:rFonts w:cs="Times New Roman"/>
          <w:szCs w:val="20"/>
        </w:rPr>
        <w:t>moeten</w:t>
      </w:r>
      <w:r w:rsidR="005C2047" w:rsidRPr="001245C2">
        <w:rPr>
          <w:rFonts w:cs="Times New Roman"/>
          <w:szCs w:val="20"/>
        </w:rPr>
        <w:t xml:space="preserve"> bijgevolg</w:t>
      </w:r>
      <w:r w:rsidR="007F6AA0" w:rsidRPr="001245C2">
        <w:rPr>
          <w:rFonts w:cs="Times New Roman"/>
          <w:szCs w:val="20"/>
        </w:rPr>
        <w:t xml:space="preserve"> binnen het toe</w:t>
      </w:r>
      <w:r w:rsidR="0007006A">
        <w:rPr>
          <w:rFonts w:cs="Times New Roman"/>
          <w:szCs w:val="20"/>
        </w:rPr>
        <w:softHyphen/>
      </w:r>
      <w:r w:rsidR="007F6AA0" w:rsidRPr="001245C2">
        <w:rPr>
          <w:rFonts w:cs="Times New Roman"/>
          <w:szCs w:val="20"/>
        </w:rPr>
        <w:t>passingsgebied van</w:t>
      </w:r>
      <w:r w:rsidR="00F7268F" w:rsidRPr="001245C2">
        <w:rPr>
          <w:rFonts w:cs="Times New Roman"/>
          <w:szCs w:val="20"/>
        </w:rPr>
        <w:t xml:space="preserve"> MiFIR</w:t>
      </w:r>
      <w:r w:rsidR="007F6AA0" w:rsidRPr="001245C2">
        <w:rPr>
          <w:rFonts w:cs="Times New Roman"/>
          <w:szCs w:val="20"/>
        </w:rPr>
        <w:t xml:space="preserve"> worden gesitueerd</w:t>
      </w:r>
      <w:r w:rsidR="00F7268F" w:rsidRPr="001245C2">
        <w:rPr>
          <w:rFonts w:cs="Times New Roman"/>
          <w:szCs w:val="20"/>
        </w:rPr>
        <w:t>.</w:t>
      </w:r>
      <w:r w:rsidR="00F7268F">
        <w:rPr>
          <w:rStyle w:val="Voetnootmarkering"/>
          <w:rFonts w:cs="Times New Roman"/>
          <w:szCs w:val="20"/>
        </w:rPr>
        <w:footnoteReference w:id="58"/>
      </w:r>
      <w:r w:rsidR="00F7268F" w:rsidRPr="001245C2">
        <w:rPr>
          <w:rFonts w:cs="Times New Roman"/>
          <w:szCs w:val="20"/>
        </w:rPr>
        <w:t xml:space="preserve"> Mocht de FSMA </w:t>
      </w:r>
      <w:r w:rsidR="00CA60A1" w:rsidRPr="001245C2">
        <w:rPr>
          <w:rFonts w:cs="Times New Roman"/>
          <w:szCs w:val="20"/>
        </w:rPr>
        <w:t>bovendien</w:t>
      </w:r>
      <w:r w:rsidR="00F7268F" w:rsidRPr="001245C2">
        <w:rPr>
          <w:rFonts w:cs="Times New Roman"/>
          <w:szCs w:val="20"/>
        </w:rPr>
        <w:t xml:space="preserve"> </w:t>
      </w:r>
      <w:r w:rsidR="00D25E0F" w:rsidRPr="001245C2">
        <w:rPr>
          <w:rFonts w:cs="Times New Roman"/>
          <w:szCs w:val="20"/>
        </w:rPr>
        <w:t>van plan zijn</w:t>
      </w:r>
      <w:r w:rsidR="00F7268F" w:rsidRPr="001245C2">
        <w:rPr>
          <w:rFonts w:cs="Times New Roman"/>
          <w:szCs w:val="20"/>
        </w:rPr>
        <w:t xml:space="preserve"> een productinterventie te nemen ten aanzien van een </w:t>
      </w:r>
      <w:r w:rsidR="00D25E0F" w:rsidRPr="001245C2">
        <w:rPr>
          <w:rFonts w:cs="Times New Roman"/>
          <w:szCs w:val="20"/>
        </w:rPr>
        <w:t>verzekeringsgebaseerd beleggingsproduct</w:t>
      </w:r>
      <w:r w:rsidR="009C08C4" w:rsidRPr="001245C2">
        <w:rPr>
          <w:rFonts w:cs="Times New Roman"/>
          <w:szCs w:val="20"/>
        </w:rPr>
        <w:t xml:space="preserve"> op grond van artikel 30</w:t>
      </w:r>
      <w:r w:rsidR="009C08C4" w:rsidRPr="001245C2">
        <w:rPr>
          <w:rFonts w:cs="Times New Roman"/>
          <w:i/>
          <w:szCs w:val="20"/>
        </w:rPr>
        <w:t>bis</w:t>
      </w:r>
      <w:r w:rsidR="009C08C4" w:rsidRPr="001245C2">
        <w:rPr>
          <w:rFonts w:cs="Times New Roman"/>
          <w:szCs w:val="20"/>
        </w:rPr>
        <w:t xml:space="preserve"> WFT</w:t>
      </w:r>
      <w:r w:rsidR="00F7268F" w:rsidRPr="001245C2">
        <w:rPr>
          <w:rFonts w:cs="Times New Roman"/>
          <w:szCs w:val="20"/>
        </w:rPr>
        <w:t xml:space="preserve">, </w:t>
      </w:r>
      <w:r w:rsidR="002E4C7D" w:rsidRPr="001245C2">
        <w:rPr>
          <w:rFonts w:cs="Times New Roman"/>
          <w:szCs w:val="20"/>
        </w:rPr>
        <w:t xml:space="preserve">dan </w:t>
      </w:r>
      <w:r w:rsidR="00F7268F" w:rsidRPr="001245C2">
        <w:rPr>
          <w:rFonts w:cs="Times New Roman"/>
          <w:szCs w:val="20"/>
        </w:rPr>
        <w:t>zal dit in strijd zijn met het geharmoniseerde productinterventieregime van</w:t>
      </w:r>
      <w:r w:rsidR="00CE5A13" w:rsidRPr="001245C2">
        <w:rPr>
          <w:rFonts w:cs="Times New Roman"/>
          <w:szCs w:val="20"/>
        </w:rPr>
        <w:t xml:space="preserve"> de</w:t>
      </w:r>
      <w:r w:rsidR="00F7268F" w:rsidRPr="001245C2">
        <w:rPr>
          <w:rFonts w:cs="Times New Roman"/>
          <w:szCs w:val="20"/>
        </w:rPr>
        <w:t xml:space="preserve"> artikel</w:t>
      </w:r>
      <w:r w:rsidR="00097C3E" w:rsidRPr="001245C2">
        <w:rPr>
          <w:rFonts w:cs="Times New Roman"/>
          <w:szCs w:val="20"/>
        </w:rPr>
        <w:t>en</w:t>
      </w:r>
      <w:r w:rsidR="00F7268F" w:rsidRPr="001245C2">
        <w:rPr>
          <w:rFonts w:cs="Times New Roman"/>
          <w:szCs w:val="20"/>
        </w:rPr>
        <w:t xml:space="preserve"> 16</w:t>
      </w:r>
      <w:r w:rsidR="00097C3E" w:rsidRPr="001245C2">
        <w:rPr>
          <w:rFonts w:cs="Times New Roman"/>
          <w:szCs w:val="20"/>
        </w:rPr>
        <w:t xml:space="preserve"> en 17</w:t>
      </w:r>
      <w:r w:rsidR="00F7268F" w:rsidRPr="001245C2">
        <w:rPr>
          <w:rFonts w:cs="Times New Roman"/>
          <w:szCs w:val="20"/>
        </w:rPr>
        <w:t xml:space="preserve"> PRIIPS dat dergelijke verzekeringsproducten viseert (</w:t>
      </w:r>
      <w:r w:rsidR="00F7268F" w:rsidRPr="001245C2">
        <w:rPr>
          <w:rFonts w:cs="Times New Roman"/>
          <w:i/>
          <w:szCs w:val="20"/>
        </w:rPr>
        <w:t>supra</w:t>
      </w:r>
      <w:r w:rsidR="00194186">
        <w:rPr>
          <w:rFonts w:cs="Times New Roman"/>
          <w:szCs w:val="20"/>
        </w:rPr>
        <w:t xml:space="preserve"> </w:t>
      </w:r>
      <w:r w:rsidR="00194186">
        <w:rPr>
          <w:rFonts w:cs="Times New Roman"/>
          <w:szCs w:val="20"/>
        </w:rPr>
        <w:fldChar w:fldCharType="begin"/>
      </w:r>
      <w:r w:rsidR="00194186">
        <w:rPr>
          <w:rFonts w:cs="Times New Roman"/>
          <w:szCs w:val="20"/>
        </w:rPr>
        <w:instrText xml:space="preserve"> PAGEREF _Ref531339298 \h </w:instrText>
      </w:r>
      <w:r w:rsidR="00194186">
        <w:rPr>
          <w:rFonts w:cs="Times New Roman"/>
          <w:szCs w:val="20"/>
        </w:rPr>
      </w:r>
      <w:r w:rsidR="00194186">
        <w:rPr>
          <w:rFonts w:cs="Times New Roman"/>
          <w:szCs w:val="20"/>
        </w:rPr>
        <w:fldChar w:fldCharType="separate"/>
      </w:r>
      <w:r w:rsidR="00194186">
        <w:rPr>
          <w:rFonts w:cs="Times New Roman"/>
          <w:noProof/>
          <w:szCs w:val="20"/>
        </w:rPr>
        <w:t>6</w:t>
      </w:r>
      <w:r w:rsidR="00194186">
        <w:rPr>
          <w:rFonts w:cs="Times New Roman"/>
          <w:szCs w:val="20"/>
        </w:rPr>
        <w:fldChar w:fldCharType="end"/>
      </w:r>
      <w:r w:rsidR="00A92FE2" w:rsidRPr="001245C2">
        <w:rPr>
          <w:rFonts w:cs="Times New Roman"/>
          <w:szCs w:val="20"/>
        </w:rPr>
        <w:t xml:space="preserve">, </w:t>
      </w:r>
      <w:r w:rsidR="00F7268F" w:rsidRPr="001245C2">
        <w:rPr>
          <w:rFonts w:cs="Times New Roman"/>
          <w:szCs w:val="20"/>
        </w:rPr>
        <w:t>nr.</w:t>
      </w:r>
      <w:r w:rsidR="00D445CB" w:rsidRPr="001245C2">
        <w:rPr>
          <w:rFonts w:cs="Times New Roman"/>
          <w:szCs w:val="20"/>
        </w:rPr>
        <w:t xml:space="preserve"> </w:t>
      </w:r>
      <w:r w:rsidR="00D445CB" w:rsidRPr="001245C2">
        <w:rPr>
          <w:rFonts w:cs="Times New Roman"/>
          <w:szCs w:val="20"/>
        </w:rPr>
        <w:fldChar w:fldCharType="begin"/>
      </w:r>
      <w:r w:rsidR="00D445CB" w:rsidRPr="001245C2">
        <w:rPr>
          <w:rFonts w:cs="Times New Roman"/>
          <w:szCs w:val="20"/>
        </w:rPr>
        <w:instrText xml:space="preserve"> REF _Ref531339298 \r \h </w:instrText>
      </w:r>
      <w:r w:rsidR="00D445CB" w:rsidRPr="001245C2">
        <w:rPr>
          <w:rFonts w:cs="Times New Roman"/>
          <w:szCs w:val="20"/>
        </w:rPr>
      </w:r>
      <w:r w:rsidR="00D445CB" w:rsidRPr="001245C2">
        <w:rPr>
          <w:rFonts w:cs="Times New Roman"/>
          <w:szCs w:val="20"/>
        </w:rPr>
        <w:fldChar w:fldCharType="separate"/>
      </w:r>
      <w:r w:rsidR="00882805">
        <w:rPr>
          <w:rFonts w:cs="Times New Roman"/>
          <w:szCs w:val="20"/>
        </w:rPr>
        <w:t>5</w:t>
      </w:r>
      <w:r w:rsidR="00D445CB" w:rsidRPr="001245C2">
        <w:rPr>
          <w:rFonts w:cs="Times New Roman"/>
          <w:szCs w:val="20"/>
        </w:rPr>
        <w:fldChar w:fldCharType="end"/>
      </w:r>
      <w:r w:rsidR="00F7268F" w:rsidRPr="001245C2">
        <w:rPr>
          <w:rFonts w:cs="Times New Roman"/>
          <w:szCs w:val="20"/>
        </w:rPr>
        <w:t>).</w:t>
      </w:r>
      <w:r w:rsidR="00097C3E" w:rsidRPr="001245C2">
        <w:rPr>
          <w:rFonts w:cs="Times New Roman"/>
          <w:szCs w:val="20"/>
        </w:rPr>
        <w:t xml:space="preserve"> De voorwaarden in PRIIPS zijn</w:t>
      </w:r>
      <w:r w:rsidR="00CE5A13" w:rsidRPr="001245C2">
        <w:rPr>
          <w:rFonts w:cs="Times New Roman"/>
          <w:szCs w:val="20"/>
        </w:rPr>
        <w:t xml:space="preserve"> daarbij</w:t>
      </w:r>
      <w:r w:rsidR="00097C3E" w:rsidRPr="001245C2">
        <w:rPr>
          <w:rFonts w:cs="Times New Roman"/>
          <w:szCs w:val="20"/>
        </w:rPr>
        <w:t xml:space="preserve"> nagenoeg hetzelfde als in MiFIR.</w:t>
      </w:r>
      <w:r w:rsidR="00F7268F" w:rsidRPr="001245C2">
        <w:rPr>
          <w:rFonts w:cs="Times New Roman"/>
          <w:szCs w:val="20"/>
        </w:rPr>
        <w:t xml:space="preserve"> Enkel bepaalde ‘gewone’ verzekeringsproducten</w:t>
      </w:r>
      <w:r w:rsidR="00564F0E" w:rsidRPr="001245C2">
        <w:rPr>
          <w:rFonts w:cs="Times New Roman"/>
          <w:szCs w:val="20"/>
        </w:rPr>
        <w:t xml:space="preserve"> (bijvoorbeeld een brandverzekering)</w:t>
      </w:r>
      <w:r w:rsidR="00F7268F" w:rsidRPr="001245C2">
        <w:rPr>
          <w:rFonts w:cs="Times New Roman"/>
          <w:szCs w:val="20"/>
        </w:rPr>
        <w:t xml:space="preserve"> zouden de dans </w:t>
      </w:r>
      <w:r w:rsidR="003C552F" w:rsidRPr="001245C2">
        <w:rPr>
          <w:rFonts w:cs="Times New Roman"/>
          <w:szCs w:val="20"/>
        </w:rPr>
        <w:t xml:space="preserve">nog </w:t>
      </w:r>
      <w:r w:rsidR="00F7268F" w:rsidRPr="001245C2">
        <w:rPr>
          <w:rFonts w:cs="Times New Roman"/>
          <w:szCs w:val="20"/>
        </w:rPr>
        <w:t>ontspringen</w:t>
      </w:r>
      <w:r w:rsidR="003C552F" w:rsidRPr="001245C2">
        <w:rPr>
          <w:rFonts w:cs="Times New Roman"/>
          <w:szCs w:val="20"/>
        </w:rPr>
        <w:t xml:space="preserve">. </w:t>
      </w:r>
      <w:r w:rsidR="005C2047" w:rsidRPr="001245C2">
        <w:rPr>
          <w:rFonts w:cs="Times New Roman"/>
          <w:szCs w:val="20"/>
        </w:rPr>
        <w:t xml:space="preserve">De Wet Financieel Toezicht verduidelijkt </w:t>
      </w:r>
      <w:r w:rsidR="009C0202" w:rsidRPr="001245C2">
        <w:rPr>
          <w:rFonts w:cs="Times New Roman"/>
          <w:szCs w:val="20"/>
        </w:rPr>
        <w:t>de notie ‘verzekeringsproduct’ immers niet</w:t>
      </w:r>
      <w:r w:rsidR="003C552F" w:rsidRPr="001245C2">
        <w:rPr>
          <w:rFonts w:cs="Times New Roman"/>
          <w:szCs w:val="20"/>
        </w:rPr>
        <w:t>, waardoor de FSMA in principe een zeer brede categorie van producten zou kunnen viseren</w:t>
      </w:r>
      <w:r w:rsidR="007F6AA0" w:rsidRPr="001245C2">
        <w:rPr>
          <w:rFonts w:cs="Times New Roman"/>
          <w:szCs w:val="20"/>
        </w:rPr>
        <w:t xml:space="preserve"> en zelfs eenvoudige financiële producten</w:t>
      </w:r>
      <w:r w:rsidR="007F6AA0">
        <w:rPr>
          <w:rStyle w:val="Voetnootmarkering"/>
          <w:rFonts w:cs="Times New Roman"/>
          <w:szCs w:val="20"/>
        </w:rPr>
        <w:footnoteReference w:id="59"/>
      </w:r>
      <w:r w:rsidR="007F6AA0" w:rsidRPr="001245C2">
        <w:rPr>
          <w:rFonts w:cs="Times New Roman"/>
          <w:szCs w:val="20"/>
        </w:rPr>
        <w:t xml:space="preserve"> onder </w:t>
      </w:r>
      <w:r w:rsidR="00D25E0F" w:rsidRPr="001245C2">
        <w:rPr>
          <w:rFonts w:cs="Times New Roman"/>
          <w:szCs w:val="20"/>
        </w:rPr>
        <w:t>een</w:t>
      </w:r>
      <w:r w:rsidR="007F6AA0" w:rsidRPr="001245C2">
        <w:rPr>
          <w:rFonts w:cs="Times New Roman"/>
          <w:szCs w:val="20"/>
        </w:rPr>
        <w:t xml:space="preserve"> </w:t>
      </w:r>
      <w:r w:rsidR="00CA10A0">
        <w:rPr>
          <w:rFonts w:cs="Times New Roman"/>
          <w:szCs w:val="20"/>
        </w:rPr>
        <w:t>productinterventie</w:t>
      </w:r>
      <w:r w:rsidR="007F6AA0" w:rsidRPr="001245C2">
        <w:rPr>
          <w:rFonts w:cs="Times New Roman"/>
          <w:szCs w:val="20"/>
        </w:rPr>
        <w:t xml:space="preserve"> kunnen vallen</w:t>
      </w:r>
      <w:r w:rsidR="003C552F" w:rsidRPr="001245C2">
        <w:rPr>
          <w:rFonts w:cs="Times New Roman"/>
          <w:szCs w:val="20"/>
        </w:rPr>
        <w:t>. Dergelijk</w:t>
      </w:r>
      <w:r w:rsidR="00CE5A13" w:rsidRPr="001245C2">
        <w:rPr>
          <w:rFonts w:cs="Times New Roman"/>
          <w:szCs w:val="20"/>
        </w:rPr>
        <w:t xml:space="preserve">e toepassing </w:t>
      </w:r>
      <w:r w:rsidR="003C552F" w:rsidRPr="001245C2">
        <w:rPr>
          <w:rFonts w:cs="Times New Roman"/>
          <w:szCs w:val="20"/>
        </w:rPr>
        <w:t>van het becommentarieerde wets</w:t>
      </w:r>
      <w:r w:rsidR="0007006A">
        <w:rPr>
          <w:rFonts w:cs="Times New Roman"/>
          <w:szCs w:val="20"/>
        </w:rPr>
        <w:softHyphen/>
      </w:r>
      <w:r w:rsidR="003C552F" w:rsidRPr="001245C2">
        <w:rPr>
          <w:rFonts w:cs="Times New Roman"/>
          <w:szCs w:val="20"/>
        </w:rPr>
        <w:t xml:space="preserve">artikel strookt </w:t>
      </w:r>
      <w:r w:rsidR="0085174B" w:rsidRPr="001245C2">
        <w:rPr>
          <w:rFonts w:cs="Times New Roman"/>
          <w:szCs w:val="20"/>
        </w:rPr>
        <w:t>echter</w:t>
      </w:r>
      <w:r w:rsidR="003C552F" w:rsidRPr="001245C2">
        <w:rPr>
          <w:rFonts w:cs="Times New Roman"/>
          <w:szCs w:val="20"/>
        </w:rPr>
        <w:t xml:space="preserve"> niet met de </w:t>
      </w:r>
      <w:r w:rsidR="00D25E0F" w:rsidRPr="001245C2">
        <w:rPr>
          <w:rFonts w:cs="Times New Roman"/>
          <w:szCs w:val="20"/>
        </w:rPr>
        <w:t>doelstellingen</w:t>
      </w:r>
      <w:r w:rsidR="0085174B" w:rsidRPr="001245C2">
        <w:rPr>
          <w:rFonts w:cs="Times New Roman"/>
          <w:szCs w:val="20"/>
        </w:rPr>
        <w:t xml:space="preserve"> waar</w:t>
      </w:r>
      <w:r w:rsidR="00D25E0F" w:rsidRPr="001245C2">
        <w:rPr>
          <w:rFonts w:cs="Times New Roman"/>
          <w:szCs w:val="20"/>
        </w:rPr>
        <w:t>toe</w:t>
      </w:r>
      <w:r w:rsidR="0085174B" w:rsidRPr="001245C2">
        <w:rPr>
          <w:rFonts w:cs="Times New Roman"/>
          <w:szCs w:val="20"/>
        </w:rPr>
        <w:t xml:space="preserve"> productinterventies tot nog toe hebben </w:t>
      </w:r>
      <w:r w:rsidR="00D25E0F" w:rsidRPr="001245C2">
        <w:rPr>
          <w:rFonts w:cs="Times New Roman"/>
          <w:szCs w:val="20"/>
        </w:rPr>
        <w:t>gediend</w:t>
      </w:r>
      <w:r w:rsidR="0085174B" w:rsidRPr="001245C2">
        <w:rPr>
          <w:rFonts w:cs="Times New Roman"/>
          <w:szCs w:val="20"/>
        </w:rPr>
        <w:t xml:space="preserve">. Zowel in de Belgische context als in andere </w:t>
      </w:r>
      <w:r w:rsidR="006505EA" w:rsidRPr="001245C2">
        <w:rPr>
          <w:rFonts w:cs="Times New Roman"/>
          <w:szCs w:val="20"/>
        </w:rPr>
        <w:t>EU-</w:t>
      </w:r>
      <w:r w:rsidR="0085174B" w:rsidRPr="001245C2">
        <w:rPr>
          <w:rFonts w:cs="Times New Roman"/>
          <w:szCs w:val="20"/>
        </w:rPr>
        <w:t>lidstaten</w:t>
      </w:r>
      <w:r w:rsidR="006505EA">
        <w:rPr>
          <w:rStyle w:val="Voetnootmarkering"/>
          <w:rFonts w:cs="Times New Roman"/>
          <w:szCs w:val="20"/>
        </w:rPr>
        <w:footnoteReference w:id="60"/>
      </w:r>
      <w:r w:rsidR="0085174B" w:rsidRPr="001245C2">
        <w:rPr>
          <w:rFonts w:cs="Times New Roman"/>
          <w:szCs w:val="20"/>
        </w:rPr>
        <w:t xml:space="preserve"> strekte</w:t>
      </w:r>
      <w:r w:rsidR="00B022A5" w:rsidRPr="001245C2">
        <w:rPr>
          <w:rFonts w:cs="Times New Roman"/>
          <w:szCs w:val="20"/>
        </w:rPr>
        <w:t>n</w:t>
      </w:r>
      <w:r w:rsidR="0085174B" w:rsidRPr="001245C2">
        <w:rPr>
          <w:rFonts w:cs="Times New Roman"/>
          <w:szCs w:val="20"/>
        </w:rPr>
        <w:t xml:space="preserve"> </w:t>
      </w:r>
      <w:r w:rsidR="00C46269" w:rsidRPr="001245C2">
        <w:rPr>
          <w:rFonts w:cs="Times New Roman"/>
          <w:szCs w:val="20"/>
        </w:rPr>
        <w:t>productinterventie</w:t>
      </w:r>
      <w:r w:rsidR="003C06A5" w:rsidRPr="001245C2">
        <w:rPr>
          <w:rFonts w:cs="Times New Roman"/>
          <w:szCs w:val="20"/>
        </w:rPr>
        <w:t>s</w:t>
      </w:r>
      <w:r w:rsidR="002E4C7D" w:rsidRPr="001245C2">
        <w:rPr>
          <w:rFonts w:cs="Times New Roman"/>
          <w:szCs w:val="20"/>
        </w:rPr>
        <w:t xml:space="preserve"> </w:t>
      </w:r>
      <w:r w:rsidR="0085174B" w:rsidRPr="001245C2">
        <w:rPr>
          <w:rFonts w:cs="Times New Roman"/>
          <w:szCs w:val="20"/>
        </w:rPr>
        <w:t>er steeds toe om beleggers</w:t>
      </w:r>
      <w:r w:rsidR="00C46269" w:rsidRPr="001245C2">
        <w:rPr>
          <w:rFonts w:cs="Times New Roman"/>
          <w:szCs w:val="20"/>
        </w:rPr>
        <w:t xml:space="preserve"> te be</w:t>
      </w:r>
      <w:r w:rsidR="0007006A">
        <w:rPr>
          <w:rFonts w:cs="Times New Roman"/>
          <w:szCs w:val="20"/>
        </w:rPr>
        <w:softHyphen/>
      </w:r>
      <w:r w:rsidR="00C46269" w:rsidRPr="001245C2">
        <w:rPr>
          <w:rFonts w:cs="Times New Roman"/>
          <w:szCs w:val="20"/>
        </w:rPr>
        <w:t>schermen</w:t>
      </w:r>
      <w:r w:rsidR="002E4C7D" w:rsidRPr="001245C2">
        <w:rPr>
          <w:rFonts w:cs="Times New Roman"/>
          <w:szCs w:val="20"/>
        </w:rPr>
        <w:t xml:space="preserve"> tegen te complexe </w:t>
      </w:r>
      <w:r w:rsidR="00CA10A0">
        <w:rPr>
          <w:rFonts w:cs="Times New Roman"/>
          <w:szCs w:val="20"/>
        </w:rPr>
        <w:t xml:space="preserve">financiële </w:t>
      </w:r>
      <w:r w:rsidR="00CA60A1" w:rsidRPr="001245C2">
        <w:rPr>
          <w:rFonts w:cs="Times New Roman"/>
          <w:szCs w:val="20"/>
        </w:rPr>
        <w:t xml:space="preserve">producten </w:t>
      </w:r>
      <w:r w:rsidR="00CA10A0">
        <w:rPr>
          <w:rFonts w:cs="Times New Roman"/>
          <w:szCs w:val="20"/>
        </w:rPr>
        <w:t>die ervoor zorgden dat</w:t>
      </w:r>
      <w:r w:rsidR="00CA60A1" w:rsidRPr="001245C2">
        <w:rPr>
          <w:rFonts w:cs="Times New Roman"/>
          <w:szCs w:val="20"/>
        </w:rPr>
        <w:t xml:space="preserve"> belegger</w:t>
      </w:r>
      <w:r w:rsidR="00CA10A0">
        <w:rPr>
          <w:rFonts w:cs="Times New Roman"/>
          <w:szCs w:val="20"/>
        </w:rPr>
        <w:t>s</w:t>
      </w:r>
      <w:r w:rsidR="00CA60A1" w:rsidRPr="001245C2">
        <w:rPr>
          <w:rFonts w:cs="Times New Roman"/>
          <w:szCs w:val="20"/>
        </w:rPr>
        <w:t xml:space="preserve"> de risico</w:t>
      </w:r>
      <w:r w:rsidR="00CA10A0">
        <w:rPr>
          <w:rFonts w:cs="Times New Roman"/>
          <w:szCs w:val="20"/>
        </w:rPr>
        <w:t>’</w:t>
      </w:r>
      <w:r w:rsidR="00CA60A1" w:rsidRPr="001245C2">
        <w:rPr>
          <w:rFonts w:cs="Times New Roman"/>
          <w:szCs w:val="20"/>
        </w:rPr>
        <w:t xml:space="preserve">s </w:t>
      </w:r>
      <w:r w:rsidR="00CA10A0">
        <w:rPr>
          <w:rFonts w:cs="Times New Roman"/>
          <w:szCs w:val="20"/>
        </w:rPr>
        <w:t xml:space="preserve">daarvan </w:t>
      </w:r>
      <w:r w:rsidR="00CA60A1" w:rsidRPr="001245C2">
        <w:rPr>
          <w:rFonts w:cs="Times New Roman"/>
          <w:szCs w:val="20"/>
        </w:rPr>
        <w:t xml:space="preserve">niet </w:t>
      </w:r>
      <w:r w:rsidR="00304481">
        <w:rPr>
          <w:rFonts w:cs="Times New Roman"/>
          <w:szCs w:val="20"/>
        </w:rPr>
        <w:t xml:space="preserve">of moeilijk </w:t>
      </w:r>
      <w:r w:rsidR="00CA60A1" w:rsidRPr="001245C2">
        <w:rPr>
          <w:rFonts w:cs="Times New Roman"/>
          <w:szCs w:val="20"/>
        </w:rPr>
        <w:t>k</w:t>
      </w:r>
      <w:r w:rsidR="00CA10A0">
        <w:rPr>
          <w:rFonts w:cs="Times New Roman"/>
          <w:szCs w:val="20"/>
        </w:rPr>
        <w:t>onden</w:t>
      </w:r>
      <w:r w:rsidR="00CA60A1" w:rsidRPr="001245C2">
        <w:rPr>
          <w:rFonts w:cs="Times New Roman"/>
          <w:szCs w:val="20"/>
        </w:rPr>
        <w:t xml:space="preserve"> inschatten</w:t>
      </w:r>
      <w:r w:rsidR="00564F0E">
        <w:rPr>
          <w:rStyle w:val="Voetnootmarkering"/>
          <w:rFonts w:cs="Times New Roman"/>
          <w:szCs w:val="20"/>
        </w:rPr>
        <w:footnoteReference w:id="61"/>
      </w:r>
      <w:r w:rsidR="00C46269" w:rsidRPr="001245C2">
        <w:rPr>
          <w:rFonts w:cs="Times New Roman"/>
          <w:szCs w:val="20"/>
        </w:rPr>
        <w:t>, niet om</w:t>
      </w:r>
      <w:r w:rsidR="0085174B" w:rsidRPr="001245C2">
        <w:rPr>
          <w:rFonts w:cs="Times New Roman"/>
          <w:szCs w:val="20"/>
        </w:rPr>
        <w:t xml:space="preserve"> bijvoorbeeld</w:t>
      </w:r>
      <w:r w:rsidR="00C46269" w:rsidRPr="001245C2">
        <w:rPr>
          <w:rFonts w:cs="Times New Roman"/>
          <w:szCs w:val="20"/>
        </w:rPr>
        <w:t xml:space="preserve"> de commercialisering van doorsnee verzekeringsproducten aan een verzekeringsnem</w:t>
      </w:r>
      <w:r w:rsidR="002E4C7D" w:rsidRPr="001245C2">
        <w:rPr>
          <w:rFonts w:cs="Times New Roman"/>
          <w:szCs w:val="20"/>
        </w:rPr>
        <w:t>er te verbieden of te beperken.</w:t>
      </w:r>
      <w:r w:rsidR="0085174B" w:rsidRPr="001245C2">
        <w:rPr>
          <w:rFonts w:cs="Times New Roman"/>
          <w:szCs w:val="20"/>
        </w:rPr>
        <w:t xml:space="preserve"> Vanuit dit opzicht lijkt het </w:t>
      </w:r>
      <w:r w:rsidR="003C06A5" w:rsidRPr="001245C2">
        <w:rPr>
          <w:rFonts w:cs="Times New Roman"/>
          <w:szCs w:val="20"/>
        </w:rPr>
        <w:t xml:space="preserve">m.i. </w:t>
      </w:r>
      <w:r w:rsidR="0085174B" w:rsidRPr="001245C2">
        <w:rPr>
          <w:rFonts w:cs="Times New Roman"/>
          <w:szCs w:val="20"/>
        </w:rPr>
        <w:t>onwaarschijnlijk dat de FSMA genoodzaakt zal zijn om artikel 30</w:t>
      </w:r>
      <w:r w:rsidR="0085174B" w:rsidRPr="001245C2">
        <w:rPr>
          <w:rFonts w:cs="Times New Roman"/>
          <w:i/>
          <w:szCs w:val="20"/>
        </w:rPr>
        <w:t>bis</w:t>
      </w:r>
      <w:r w:rsidR="00037919" w:rsidRPr="001245C2">
        <w:rPr>
          <w:rFonts w:cs="Times New Roman"/>
          <w:szCs w:val="20"/>
        </w:rPr>
        <w:t>, eerste lid, 1°</w:t>
      </w:r>
      <w:r w:rsidR="0085174B" w:rsidRPr="001245C2">
        <w:rPr>
          <w:rFonts w:cs="Times New Roman"/>
          <w:szCs w:val="20"/>
        </w:rPr>
        <w:t xml:space="preserve"> WFT </w:t>
      </w:r>
      <w:r w:rsidR="003C06A5" w:rsidRPr="001245C2">
        <w:rPr>
          <w:rFonts w:cs="Times New Roman"/>
          <w:szCs w:val="20"/>
        </w:rPr>
        <w:t>buiten het materieel toepassingsgebied van MiFIR</w:t>
      </w:r>
      <w:r w:rsidR="009C08C4" w:rsidRPr="001245C2">
        <w:rPr>
          <w:rFonts w:cs="Times New Roman"/>
          <w:szCs w:val="20"/>
        </w:rPr>
        <w:t xml:space="preserve"> of PRIIPS</w:t>
      </w:r>
      <w:r w:rsidR="0085174B" w:rsidRPr="001245C2">
        <w:rPr>
          <w:rFonts w:cs="Times New Roman"/>
          <w:szCs w:val="20"/>
        </w:rPr>
        <w:t xml:space="preserve"> toe te passen.</w:t>
      </w:r>
    </w:p>
    <w:p w:rsidR="003C552F" w:rsidRDefault="00D57AB9" w:rsidP="002E4C7D">
      <w:pPr>
        <w:spacing w:line="276" w:lineRule="auto"/>
      </w:pPr>
      <w:r>
        <w:t>Er zijn echter nog</w:t>
      </w:r>
      <w:r w:rsidR="00097C3E">
        <w:t xml:space="preserve"> andere manieren</w:t>
      </w:r>
      <w:r w:rsidR="00CE5A13">
        <w:t xml:space="preserve"> mogelijk</w:t>
      </w:r>
      <w:r>
        <w:t xml:space="preserve"> </w:t>
      </w:r>
      <w:r w:rsidR="003C06A5">
        <w:t>waar</w:t>
      </w:r>
      <w:r w:rsidR="00312BBE">
        <w:t>op</w:t>
      </w:r>
      <w:r w:rsidR="003C06A5">
        <w:t xml:space="preserve"> de Belgische toezichthouder in</w:t>
      </w:r>
      <w:r w:rsidR="009C0202">
        <w:t xml:space="preserve"> een</w:t>
      </w:r>
      <w:r w:rsidR="003C06A5">
        <w:t xml:space="preserve"> additionele bescherming </w:t>
      </w:r>
      <w:r w:rsidR="00106462">
        <w:t xml:space="preserve">zou </w:t>
      </w:r>
      <w:r w:rsidR="003C06A5">
        <w:t>k</w:t>
      </w:r>
      <w:r w:rsidR="00106462">
        <w:t>unne</w:t>
      </w:r>
      <w:r w:rsidR="003C06A5">
        <w:t xml:space="preserve">n voorzien. </w:t>
      </w:r>
      <w:r w:rsidR="002E4C7D">
        <w:t xml:space="preserve">De Europeesrechtelijke productinterventies bevatten </w:t>
      </w:r>
      <w:r w:rsidR="00097C3E">
        <w:t xml:space="preserve">schijnbaar </w:t>
      </w:r>
      <w:r w:rsidR="002E4C7D">
        <w:t>geen personeel toepassings</w:t>
      </w:r>
      <w:r w:rsidR="0007006A">
        <w:softHyphen/>
      </w:r>
      <w:r w:rsidR="002E4C7D">
        <w:t xml:space="preserve">gebied wat betreft de aanbieder, waardoor duidelijk zou moeten zijn dat </w:t>
      </w:r>
      <w:r w:rsidR="00106462">
        <w:t>een</w:t>
      </w:r>
      <w:r w:rsidR="002E4C7D">
        <w:t xml:space="preserve"> interventie betrekking heeft op het </w:t>
      </w:r>
      <w:r w:rsidR="002E4C7D">
        <w:rPr>
          <w:i/>
        </w:rPr>
        <w:t>product</w:t>
      </w:r>
      <w:r w:rsidR="002E4C7D">
        <w:t xml:space="preserve"> alleen. Deze afwezigheid van een personele afbakening zou dan ook voor de hand moeten liggen, gelet op het risico op omzeiling van </w:t>
      </w:r>
      <w:r w:rsidR="0075779E">
        <w:t>een</w:t>
      </w:r>
      <w:r w:rsidR="002E4C7D">
        <w:t xml:space="preserve"> verbod. De evidentie hiervan is echter niet zo duidelijk wanneer gekeken wordt naar het personeel toepassingsgebied van MiFIR in </w:t>
      </w:r>
      <w:r w:rsidR="00304E89">
        <w:t>zijn</w:t>
      </w:r>
      <w:r w:rsidR="002E4C7D">
        <w:t xml:space="preserve"> geheel: de MiFIR-bepalingen zijn volgens art</w:t>
      </w:r>
      <w:r w:rsidR="0085174B">
        <w:t>ikel</w:t>
      </w:r>
      <w:r w:rsidR="002E4C7D">
        <w:t xml:space="preserve"> 1, 2 MiFIR van toepassing op onder MiFID II vergunde beleggingsondernemingen en onder CRD IV vergunde kre</w:t>
      </w:r>
      <w:r w:rsidR="0007006A">
        <w:softHyphen/>
      </w:r>
      <w:r w:rsidR="002E4C7D">
        <w:t xml:space="preserve">dietinstellingen. Hierdoor vallen beheersvennootschappen van fondsen </w:t>
      </w:r>
      <w:r w:rsidR="00BC2D15">
        <w:t xml:space="preserve">erbuiten </w:t>
      </w:r>
      <w:r w:rsidR="002E4C7D">
        <w:t>die, zonder tussenkomst van een beleggingsonderneming of kredietinstelling, aandelen in hun fondsen rechtstreeks verdelen.</w:t>
      </w:r>
      <w:r w:rsidR="002E4C7D">
        <w:rPr>
          <w:rStyle w:val="Voetnootmarkering"/>
        </w:rPr>
        <w:footnoteReference w:id="62"/>
      </w:r>
      <w:r w:rsidR="002E4C7D">
        <w:t xml:space="preserve"> Ook belegginson</w:t>
      </w:r>
      <w:r w:rsidR="0007006A">
        <w:softHyphen/>
      </w:r>
      <w:r w:rsidR="002E4C7D">
        <w:t>dernemingen die via een uitzondering onder een nationaal regime vallen</w:t>
      </w:r>
      <w:r w:rsidR="003F4053">
        <w:t xml:space="preserve"> en</w:t>
      </w:r>
      <w:r w:rsidR="002E4C7D">
        <w:t xml:space="preserve"> beleggingsondernemingen of krediet</w:t>
      </w:r>
      <w:r w:rsidR="0007006A">
        <w:softHyphen/>
      </w:r>
      <w:r w:rsidR="002E4C7D">
        <w:t xml:space="preserve">instellingen die vergund zijn in een derde land zouden </w:t>
      </w:r>
      <w:r w:rsidR="00BC2D15">
        <w:t>een verbod of beperking niet moeten opvolgen</w:t>
      </w:r>
      <w:r w:rsidR="002E4C7D">
        <w:t>.</w:t>
      </w:r>
      <w:r>
        <w:rPr>
          <w:rStyle w:val="Voetnootmarkering"/>
        </w:rPr>
        <w:footnoteReference w:id="63"/>
      </w:r>
      <w:r w:rsidR="002E4C7D">
        <w:t xml:space="preserve"> Er zijn echter goede argumenten om aan te nemen dat het beperkende toepassingsgebied van deze bepaling achterwege kan worden gelaten </w:t>
      </w:r>
      <w:r w:rsidR="009C0202">
        <w:t>bij</w:t>
      </w:r>
      <w:r w:rsidR="002E4C7D">
        <w:t xml:space="preserve"> maatregelen in verband met productinterventie.</w:t>
      </w:r>
      <w:r>
        <w:t xml:space="preserve"> Zo zou een beperkende interpretatie de MiFIR-doelstelling inzake beleggersbescherming al te makkelijk ondermijnen</w:t>
      </w:r>
      <w:r w:rsidR="00B85C4D">
        <w:t>.</w:t>
      </w:r>
      <w:r w:rsidR="002E4C7D">
        <w:rPr>
          <w:rStyle w:val="Voetnootmarkering"/>
        </w:rPr>
        <w:footnoteReference w:id="64"/>
      </w:r>
      <w:r w:rsidR="00BC2D15">
        <w:t xml:space="preserve"> Indien echter de strikte tekstuele interpretatie van de verordening </w:t>
      </w:r>
      <w:r w:rsidR="003F4053">
        <w:t>toch navolging zou krijgen</w:t>
      </w:r>
      <w:r w:rsidR="00BC2D15">
        <w:t>,</w:t>
      </w:r>
      <w:r w:rsidR="003F4053">
        <w:t xml:space="preserve"> dan</w:t>
      </w:r>
      <w:r w:rsidR="00BC2D15">
        <w:t xml:space="preserve"> kan artikel 30</w:t>
      </w:r>
      <w:r w:rsidR="00BC2D15">
        <w:rPr>
          <w:i/>
        </w:rPr>
        <w:t>bis</w:t>
      </w:r>
      <w:r w:rsidR="00BC2D15">
        <w:t xml:space="preserve"> </w:t>
      </w:r>
      <w:r w:rsidR="003F4053">
        <w:t xml:space="preserve">WFT </w:t>
      </w:r>
      <w:r w:rsidR="009C0202">
        <w:t>wel</w:t>
      </w:r>
      <w:r w:rsidR="00BC2D15">
        <w:t xml:space="preserve"> een nuttige rol spelen doordat </w:t>
      </w:r>
      <w:r w:rsidR="004D2E58">
        <w:t>dit</w:t>
      </w:r>
      <w:r w:rsidR="00BC2D15">
        <w:t xml:space="preserve"> een op Europees niveau genomen maatregel </w:t>
      </w:r>
      <w:r w:rsidR="0057053E">
        <w:t xml:space="preserve">uitbreidt naar alle aanbieders van het geviseerde financieel </w:t>
      </w:r>
      <w:r w:rsidR="0057053E">
        <w:lastRenderedPageBreak/>
        <w:t>product.</w:t>
      </w:r>
      <w:r w:rsidR="0057053E">
        <w:rPr>
          <w:rStyle w:val="Voetnootmarkering"/>
        </w:rPr>
        <w:footnoteReference w:id="65"/>
      </w:r>
      <w:r w:rsidR="0057053E">
        <w:t xml:space="preserve"> </w:t>
      </w:r>
      <w:r w:rsidR="009F5558">
        <w:t xml:space="preserve">De </w:t>
      </w:r>
      <w:r w:rsidR="0057053E">
        <w:t>ESMA heeft haar bevoegdheid tot productinterventie echter onlangs uitgeoefend ten aanzien van binaire opties</w:t>
      </w:r>
      <w:r w:rsidR="0057053E">
        <w:rPr>
          <w:rStyle w:val="Voetnootmarkering"/>
        </w:rPr>
        <w:footnoteReference w:id="66"/>
      </w:r>
      <w:r w:rsidR="0057053E">
        <w:t xml:space="preserve"> en CFD’s</w:t>
      </w:r>
      <w:r w:rsidR="0057053E">
        <w:rPr>
          <w:rStyle w:val="Voetnootmarkering"/>
        </w:rPr>
        <w:footnoteReference w:id="67"/>
      </w:r>
      <w:r w:rsidR="0057053E">
        <w:t xml:space="preserve">. Uit geen van beide </w:t>
      </w:r>
      <w:r w:rsidR="00196ABB">
        <w:t xml:space="preserve">besluiten </w:t>
      </w:r>
      <w:r w:rsidR="0057053E">
        <w:t>blijkt dat z</w:t>
      </w:r>
      <w:r w:rsidR="004D2E58">
        <w:t>e</w:t>
      </w:r>
      <w:r w:rsidR="0057053E">
        <w:t xml:space="preserve"> uitgaat van enige beperking in het toepas</w:t>
      </w:r>
      <w:r w:rsidR="0007006A">
        <w:softHyphen/>
      </w:r>
      <w:r w:rsidR="0057053E">
        <w:t>singsgebied l</w:t>
      </w:r>
      <w:r w:rsidR="009F5558">
        <w:t>angs de kant van de aanbieders</w:t>
      </w:r>
      <w:r w:rsidR="00D25E0F">
        <w:t>. D</w:t>
      </w:r>
      <w:r w:rsidR="009F5558">
        <w:t>e ESMA benadrukt</w:t>
      </w:r>
      <w:r w:rsidR="00D25E0F">
        <w:t xml:space="preserve"> zelfs integendeel</w:t>
      </w:r>
      <w:r w:rsidR="00196ABB">
        <w:t xml:space="preserve"> dat de interventie enkel op het product slaat.</w:t>
      </w:r>
      <w:r w:rsidR="00196ABB">
        <w:rPr>
          <w:rStyle w:val="Voetnootmarkering"/>
        </w:rPr>
        <w:footnoteReference w:id="68"/>
      </w:r>
    </w:p>
    <w:p w:rsidR="001402A3" w:rsidRDefault="00196ABB" w:rsidP="00253E6B">
      <w:pPr>
        <w:spacing w:line="276" w:lineRule="auto"/>
      </w:pPr>
      <w:r>
        <w:t>Doordat een MiFIR</w:t>
      </w:r>
      <w:r w:rsidR="00106462">
        <w:t>- of PRIIPS</w:t>
      </w:r>
      <w:r>
        <w:t>-interventie betrekking kan hebben op het verbieden of beperken van het op de markt brengen, het verspreide</w:t>
      </w:r>
      <w:r w:rsidR="004D2E58">
        <w:t>n of verkopen, lijkt ze</w:t>
      </w:r>
      <w:r>
        <w:t xml:space="preserve"> een ruim potentieel aan maatregelen toe te staan</w:t>
      </w:r>
      <w:r w:rsidR="00381175">
        <w:t xml:space="preserve"> die deel kunnen uitmaken van eenzelfde interventiebesluit</w:t>
      </w:r>
      <w:r>
        <w:t xml:space="preserve">. Ook </w:t>
      </w:r>
      <w:r w:rsidR="00304481">
        <w:t>wat betreft</w:t>
      </w:r>
      <w:r w:rsidR="0075779E">
        <w:t xml:space="preserve"> de mogelijke maatregelen die onder een inter</w:t>
      </w:r>
      <w:r w:rsidR="0007006A">
        <w:softHyphen/>
      </w:r>
      <w:r w:rsidR="0075779E">
        <w:t>ventie kunnen vallen,</w:t>
      </w:r>
      <w:r>
        <w:t xml:space="preserve"> zal de FSMA wellicht niet in een additionele bescherming kunnen voorzien.</w:t>
      </w:r>
      <w:r w:rsidR="00304481">
        <w:t xml:space="preserve"> </w:t>
      </w:r>
      <w:r w:rsidR="00C97411">
        <w:t xml:space="preserve">Wanneer de FSMA </w:t>
      </w:r>
      <w:r w:rsidR="00BA0AD1">
        <w:t>daarentegen</w:t>
      </w:r>
      <w:r w:rsidR="00C97411">
        <w:t xml:space="preserve"> overgaat tot </w:t>
      </w:r>
      <w:r w:rsidR="00381175">
        <w:t>de</w:t>
      </w:r>
      <w:r w:rsidR="00C97411">
        <w:t xml:space="preserve"> opstell</w:t>
      </w:r>
      <w:r w:rsidR="00381175">
        <w:t>ing</w:t>
      </w:r>
      <w:r w:rsidR="00C97411">
        <w:t xml:space="preserve"> van een vrijwillig instrument zoals het moratorium, dan zal </w:t>
      </w:r>
      <w:r w:rsidR="004D2E58">
        <w:t>ze</w:t>
      </w:r>
      <w:r w:rsidR="00C97411">
        <w:t xml:space="preserve"> zich </w:t>
      </w:r>
      <w:r w:rsidR="00BA0AD1">
        <w:t>wel</w:t>
      </w:r>
      <w:r w:rsidR="00C97411">
        <w:t xml:space="preserve"> buiten het geharmoniseerde gebied bevinden. De productinterventies in MiFIR en PRIIPS zijn immers dwin</w:t>
      </w:r>
      <w:r w:rsidR="0007006A">
        <w:softHyphen/>
      </w:r>
      <w:r w:rsidR="00C97411">
        <w:t>gende maatregelen.</w:t>
      </w:r>
      <w:r w:rsidR="001E66DA">
        <w:rPr>
          <w:rStyle w:val="Voetnootmarkering"/>
        </w:rPr>
        <w:footnoteReference w:id="69"/>
      </w:r>
      <w:r w:rsidR="00C97411">
        <w:t xml:space="preserve"> Het vrijwillig </w:t>
      </w:r>
      <w:r w:rsidR="00C97411" w:rsidRPr="00B85C4D">
        <w:t xml:space="preserve">moratorium geldt </w:t>
      </w:r>
      <w:r w:rsidR="008D1A33" w:rsidRPr="00B85C4D">
        <w:t xml:space="preserve">bijgevolg </w:t>
      </w:r>
      <w:r w:rsidR="00C97411" w:rsidRPr="00B85C4D">
        <w:t>onverkort</w:t>
      </w:r>
      <w:r w:rsidR="008D1A33" w:rsidRPr="00B85C4D">
        <w:t xml:space="preserve"> verder</w:t>
      </w:r>
      <w:r w:rsidR="00F6295E" w:rsidRPr="00B85C4D">
        <w:t xml:space="preserve"> en ook naar de toekomst toe lijkt een nieuw moratorium, juridisch althans, niet uit te sluiten.</w:t>
      </w:r>
    </w:p>
    <w:p w:rsidR="00EE642C" w:rsidRPr="00EE642C" w:rsidRDefault="00EE642C" w:rsidP="00253E6B">
      <w:pPr>
        <w:spacing w:line="276" w:lineRule="auto"/>
        <w:rPr>
          <w:b/>
        </w:rPr>
      </w:pPr>
      <w:r w:rsidRPr="00EE642C">
        <w:rPr>
          <w:b/>
        </w:rPr>
        <w:t xml:space="preserve">3. </w:t>
      </w:r>
      <w:r w:rsidR="008A67AD">
        <w:rPr>
          <w:b/>
        </w:rPr>
        <w:t xml:space="preserve">Toekomstige werking </w:t>
      </w:r>
      <w:r w:rsidRPr="00EE642C">
        <w:rPr>
          <w:b/>
        </w:rPr>
        <w:t>van</w:t>
      </w:r>
      <w:r w:rsidR="008A67AD">
        <w:rPr>
          <w:b/>
        </w:rPr>
        <w:t xml:space="preserve"> de</w:t>
      </w:r>
      <w:r>
        <w:rPr>
          <w:b/>
        </w:rPr>
        <w:t xml:space="preserve"> bestaande</w:t>
      </w:r>
      <w:r w:rsidRPr="00EE642C">
        <w:rPr>
          <w:b/>
        </w:rPr>
        <w:t xml:space="preserve"> FSMA-</w:t>
      </w:r>
      <w:r w:rsidR="008A67AD">
        <w:rPr>
          <w:b/>
        </w:rPr>
        <w:t>reglementen naar Belgisch recht</w:t>
      </w:r>
    </w:p>
    <w:p w:rsidR="008B6018" w:rsidRPr="001B0C26" w:rsidRDefault="008B6018" w:rsidP="00F84C16">
      <w:pPr>
        <w:pStyle w:val="Lijstalinea"/>
        <w:numPr>
          <w:ilvl w:val="0"/>
          <w:numId w:val="3"/>
        </w:numPr>
        <w:spacing w:line="276" w:lineRule="auto"/>
      </w:pPr>
      <w:bookmarkStart w:id="9" w:name="_Ref533151842"/>
      <w:bookmarkStart w:id="10" w:name="_Ref531680524"/>
      <w:r w:rsidRPr="008B6018">
        <w:rPr>
          <w:rFonts w:cs="Times New Roman"/>
          <w:i/>
          <w:szCs w:val="20"/>
        </w:rPr>
        <w:t>Twee rechtsvragen</w:t>
      </w:r>
      <w:r w:rsidR="001402A3" w:rsidRPr="008B6018">
        <w:rPr>
          <w:rFonts w:cs="Times New Roman"/>
          <w:szCs w:val="20"/>
        </w:rPr>
        <w:t xml:space="preserve"> ‒ </w:t>
      </w:r>
      <w:r w:rsidR="000E7BAF">
        <w:rPr>
          <w:rFonts w:cs="Times New Roman"/>
          <w:szCs w:val="20"/>
        </w:rPr>
        <w:t>Uit het bovenstaande is duidelijk dat n</w:t>
      </w:r>
      <w:r w:rsidR="00280B8B">
        <w:rPr>
          <w:rFonts w:cs="Times New Roman"/>
          <w:szCs w:val="20"/>
        </w:rPr>
        <w:t xml:space="preserve">ieuwe Belgische productinterventies </w:t>
      </w:r>
      <w:r w:rsidR="000E7BAF">
        <w:rPr>
          <w:rFonts w:cs="Times New Roman"/>
          <w:szCs w:val="20"/>
        </w:rPr>
        <w:t>a</w:t>
      </w:r>
      <w:r w:rsidR="00280B8B">
        <w:rPr>
          <w:rFonts w:cs="Times New Roman"/>
          <w:szCs w:val="20"/>
        </w:rPr>
        <w:t xml:space="preserve">llicht </w:t>
      </w:r>
      <w:r w:rsidR="000E7BAF">
        <w:rPr>
          <w:rFonts w:cs="Times New Roman"/>
          <w:szCs w:val="20"/>
        </w:rPr>
        <w:t xml:space="preserve">steeds </w:t>
      </w:r>
      <w:r w:rsidR="00280B8B">
        <w:rPr>
          <w:rFonts w:cs="Times New Roman"/>
          <w:szCs w:val="20"/>
        </w:rPr>
        <w:t xml:space="preserve">binnen het toepassingsgebied </w:t>
      </w:r>
      <w:r w:rsidR="00304481">
        <w:rPr>
          <w:rFonts w:cs="Times New Roman"/>
          <w:szCs w:val="20"/>
        </w:rPr>
        <w:t xml:space="preserve">en onder de voorwaarden </w:t>
      </w:r>
      <w:r w:rsidR="00280B8B">
        <w:rPr>
          <w:rFonts w:cs="Times New Roman"/>
          <w:szCs w:val="20"/>
        </w:rPr>
        <w:t>van de Europeesrechtelijke regimes</w:t>
      </w:r>
      <w:r w:rsidR="000E7BAF">
        <w:rPr>
          <w:rFonts w:cs="Times New Roman"/>
          <w:szCs w:val="20"/>
        </w:rPr>
        <w:t xml:space="preserve"> zullen</w:t>
      </w:r>
      <w:r w:rsidR="00280B8B">
        <w:rPr>
          <w:rFonts w:cs="Times New Roman"/>
          <w:szCs w:val="20"/>
        </w:rPr>
        <w:t xml:space="preserve"> moeten plaats</w:t>
      </w:r>
      <w:r w:rsidR="0007006A">
        <w:rPr>
          <w:rFonts w:cs="Times New Roman"/>
          <w:szCs w:val="20"/>
        </w:rPr>
        <w:softHyphen/>
      </w:r>
      <w:r w:rsidR="00280B8B">
        <w:rPr>
          <w:rFonts w:cs="Times New Roman"/>
          <w:szCs w:val="20"/>
        </w:rPr>
        <w:t xml:space="preserve">vinden. </w:t>
      </w:r>
      <w:r w:rsidR="001402A3" w:rsidRPr="008B6018">
        <w:rPr>
          <w:rFonts w:cs="Times New Roman"/>
          <w:szCs w:val="20"/>
        </w:rPr>
        <w:t xml:space="preserve">Een </w:t>
      </w:r>
      <w:r w:rsidR="008F730D" w:rsidRPr="008B6018">
        <w:rPr>
          <w:rFonts w:cs="Times New Roman"/>
          <w:szCs w:val="20"/>
        </w:rPr>
        <w:t>laatste</w:t>
      </w:r>
      <w:r w:rsidR="001402A3" w:rsidRPr="008B6018">
        <w:rPr>
          <w:rFonts w:cs="Times New Roman"/>
          <w:szCs w:val="20"/>
        </w:rPr>
        <w:t xml:space="preserve"> </w:t>
      </w:r>
      <w:r w:rsidR="008F730D" w:rsidRPr="008B6018">
        <w:rPr>
          <w:rFonts w:cs="Times New Roman"/>
          <w:szCs w:val="20"/>
        </w:rPr>
        <w:t>probleem</w:t>
      </w:r>
      <w:r w:rsidR="001402A3" w:rsidRPr="008B6018">
        <w:rPr>
          <w:rFonts w:cs="Times New Roman"/>
          <w:szCs w:val="20"/>
        </w:rPr>
        <w:t xml:space="preserve"> waartoe het Europeesrechtelijk regime </w:t>
      </w:r>
      <w:r w:rsidR="00280B8B">
        <w:rPr>
          <w:rFonts w:cs="Times New Roman"/>
          <w:szCs w:val="20"/>
        </w:rPr>
        <w:t xml:space="preserve">echter nog </w:t>
      </w:r>
      <w:r w:rsidR="001402A3" w:rsidRPr="008B6018">
        <w:rPr>
          <w:rFonts w:cs="Times New Roman"/>
          <w:szCs w:val="20"/>
        </w:rPr>
        <w:t>aanleiding</w:t>
      </w:r>
      <w:r w:rsidR="00280B8B">
        <w:rPr>
          <w:rFonts w:cs="Times New Roman"/>
          <w:szCs w:val="20"/>
        </w:rPr>
        <w:t xml:space="preserve"> </w:t>
      </w:r>
      <w:r w:rsidR="001402A3" w:rsidRPr="008B6018">
        <w:rPr>
          <w:rFonts w:cs="Times New Roman"/>
          <w:szCs w:val="20"/>
        </w:rPr>
        <w:t xml:space="preserve">geeft, betreft </w:t>
      </w:r>
      <w:r w:rsidR="00C842B4">
        <w:rPr>
          <w:rFonts w:cs="Times New Roman"/>
          <w:szCs w:val="20"/>
        </w:rPr>
        <w:t xml:space="preserve">het lot </w:t>
      </w:r>
      <w:r w:rsidR="001402A3" w:rsidRPr="008B6018">
        <w:rPr>
          <w:rFonts w:cs="Times New Roman"/>
          <w:szCs w:val="20"/>
        </w:rPr>
        <w:t xml:space="preserve">van </w:t>
      </w:r>
      <w:r w:rsidR="00280B8B">
        <w:rPr>
          <w:rFonts w:cs="Times New Roman"/>
          <w:szCs w:val="20"/>
        </w:rPr>
        <w:t>de bestaand</w:t>
      </w:r>
      <w:r w:rsidR="000E7BAF">
        <w:rPr>
          <w:rFonts w:cs="Times New Roman"/>
          <w:szCs w:val="20"/>
        </w:rPr>
        <w:t>e</w:t>
      </w:r>
      <w:r w:rsidR="001402A3" w:rsidRPr="008B6018">
        <w:rPr>
          <w:rFonts w:cs="Times New Roman"/>
          <w:szCs w:val="20"/>
        </w:rPr>
        <w:t xml:space="preserve"> FSMA-reglement</w:t>
      </w:r>
      <w:r w:rsidR="00280B8B">
        <w:rPr>
          <w:rFonts w:cs="Times New Roman"/>
          <w:szCs w:val="20"/>
        </w:rPr>
        <w:t>en</w:t>
      </w:r>
      <w:r w:rsidR="001402A3" w:rsidRPr="008B6018">
        <w:rPr>
          <w:rFonts w:cs="Times New Roman"/>
          <w:szCs w:val="20"/>
        </w:rPr>
        <w:t xml:space="preserve"> naar Belgisch recht </w:t>
      </w:r>
      <w:r w:rsidR="000E7BAF">
        <w:rPr>
          <w:rFonts w:cs="Times New Roman"/>
          <w:szCs w:val="20"/>
        </w:rPr>
        <w:t>na</w:t>
      </w:r>
      <w:r w:rsidR="001402A3" w:rsidRPr="008B6018">
        <w:rPr>
          <w:rFonts w:cs="Times New Roman"/>
          <w:szCs w:val="20"/>
        </w:rPr>
        <w:t xml:space="preserve"> de inwerkingtreding van MiFIR</w:t>
      </w:r>
      <w:r w:rsidR="00106462" w:rsidRPr="008B6018">
        <w:rPr>
          <w:rFonts w:cs="Times New Roman"/>
          <w:szCs w:val="20"/>
        </w:rPr>
        <w:t xml:space="preserve"> en PRIIPS op</w:t>
      </w:r>
      <w:r w:rsidR="00280B8B">
        <w:rPr>
          <w:rFonts w:cs="Times New Roman"/>
          <w:szCs w:val="20"/>
        </w:rPr>
        <w:t xml:space="preserve"> res</w:t>
      </w:r>
      <w:r w:rsidR="0007006A">
        <w:rPr>
          <w:rFonts w:cs="Times New Roman"/>
          <w:szCs w:val="20"/>
        </w:rPr>
        <w:softHyphen/>
      </w:r>
      <w:r w:rsidR="00280B8B">
        <w:rPr>
          <w:rFonts w:cs="Times New Roman"/>
          <w:szCs w:val="20"/>
        </w:rPr>
        <w:t>pectievelijk</w:t>
      </w:r>
      <w:r w:rsidR="00106462" w:rsidRPr="008B6018">
        <w:rPr>
          <w:rFonts w:cs="Times New Roman"/>
          <w:szCs w:val="20"/>
        </w:rPr>
        <w:t xml:space="preserve"> 3 en 1 januari 2018.</w:t>
      </w:r>
      <w:r w:rsidR="001402A3" w:rsidRPr="008B6018">
        <w:rPr>
          <w:rFonts w:cs="Times New Roman"/>
          <w:szCs w:val="20"/>
        </w:rPr>
        <w:t xml:space="preserve"> </w:t>
      </w:r>
      <w:r w:rsidR="001B0C26" w:rsidRPr="008B6018">
        <w:rPr>
          <w:rFonts w:cs="Times New Roman"/>
          <w:szCs w:val="20"/>
        </w:rPr>
        <w:t>D</w:t>
      </w:r>
      <w:r w:rsidR="008F5A9E" w:rsidRPr="008B6018">
        <w:rPr>
          <w:rFonts w:cs="Times New Roman"/>
          <w:szCs w:val="20"/>
        </w:rPr>
        <w:t>e</w:t>
      </w:r>
      <w:r w:rsidR="001402A3" w:rsidRPr="008B6018">
        <w:rPr>
          <w:rFonts w:cs="Times New Roman"/>
          <w:szCs w:val="20"/>
        </w:rPr>
        <w:t xml:space="preserve"> ESMA </w:t>
      </w:r>
      <w:r w:rsidR="001B0C26" w:rsidRPr="008B6018">
        <w:rPr>
          <w:rFonts w:cs="Times New Roman"/>
          <w:szCs w:val="20"/>
        </w:rPr>
        <w:t xml:space="preserve">heeft bovendien </w:t>
      </w:r>
      <w:r w:rsidR="001402A3" w:rsidRPr="008B6018">
        <w:rPr>
          <w:rFonts w:cs="Times New Roman"/>
          <w:szCs w:val="20"/>
        </w:rPr>
        <w:t xml:space="preserve">haar bevoegdheid tot productinterventie </w:t>
      </w:r>
      <w:r w:rsidR="001B0C26" w:rsidRPr="008B6018">
        <w:rPr>
          <w:rFonts w:cs="Times New Roman"/>
          <w:szCs w:val="20"/>
        </w:rPr>
        <w:t>reeds</w:t>
      </w:r>
      <w:r w:rsidR="001402A3" w:rsidRPr="008B6018">
        <w:rPr>
          <w:rFonts w:cs="Times New Roman"/>
          <w:szCs w:val="20"/>
        </w:rPr>
        <w:t xml:space="preserve"> </w:t>
      </w:r>
      <w:r w:rsidR="00517FE7" w:rsidRPr="008B6018">
        <w:rPr>
          <w:rFonts w:cs="Times New Roman"/>
          <w:szCs w:val="20"/>
        </w:rPr>
        <w:t xml:space="preserve">gebruikt </w:t>
      </w:r>
      <w:r w:rsidR="001402A3" w:rsidRPr="008B6018">
        <w:rPr>
          <w:rFonts w:cs="Times New Roman"/>
          <w:szCs w:val="20"/>
        </w:rPr>
        <w:t xml:space="preserve">ten aanzien van binaire opties en CFD’s. </w:t>
      </w:r>
      <w:r w:rsidR="003F4053" w:rsidRPr="008B6018">
        <w:rPr>
          <w:rFonts w:cs="Times New Roman"/>
          <w:szCs w:val="20"/>
        </w:rPr>
        <w:t>Deze</w:t>
      </w:r>
      <w:r w:rsidR="000E7BAF">
        <w:rPr>
          <w:rFonts w:cs="Times New Roman"/>
          <w:szCs w:val="20"/>
        </w:rPr>
        <w:t xml:space="preserve"> financiële instrumenten</w:t>
      </w:r>
      <w:r w:rsidR="003F4053" w:rsidRPr="008B6018">
        <w:rPr>
          <w:rFonts w:cs="Times New Roman"/>
          <w:szCs w:val="20"/>
        </w:rPr>
        <w:t xml:space="preserve"> </w:t>
      </w:r>
      <w:r w:rsidR="001402A3" w:rsidRPr="008B6018">
        <w:rPr>
          <w:rFonts w:cs="Times New Roman"/>
          <w:szCs w:val="20"/>
        </w:rPr>
        <w:t xml:space="preserve">waren ook het voorwerp </w:t>
      </w:r>
      <w:r w:rsidR="00517FE7" w:rsidRPr="008B6018">
        <w:rPr>
          <w:rFonts w:cs="Times New Roman"/>
          <w:szCs w:val="20"/>
        </w:rPr>
        <w:t>van het tweede FSMA-reglement, wat</w:t>
      </w:r>
      <w:r w:rsidR="001402A3" w:rsidRPr="008B6018">
        <w:rPr>
          <w:rFonts w:cs="Times New Roman"/>
          <w:szCs w:val="20"/>
        </w:rPr>
        <w:t xml:space="preserve"> echter strenger was dan de</w:t>
      </w:r>
      <w:r w:rsidR="002F0F39" w:rsidRPr="008B6018">
        <w:rPr>
          <w:rFonts w:cs="Times New Roman"/>
          <w:szCs w:val="20"/>
        </w:rPr>
        <w:t xml:space="preserve"> twee</w:t>
      </w:r>
      <w:r w:rsidR="001402A3" w:rsidRPr="008B6018">
        <w:rPr>
          <w:rFonts w:cs="Times New Roman"/>
          <w:szCs w:val="20"/>
        </w:rPr>
        <w:t xml:space="preserve"> ESMA-besluiten. Waar het FSMA</w:t>
      </w:r>
      <w:r w:rsidR="00C469BB" w:rsidRPr="008B6018">
        <w:rPr>
          <w:rFonts w:cs="Times New Roman"/>
          <w:szCs w:val="20"/>
        </w:rPr>
        <w:t>-</w:t>
      </w:r>
      <w:r w:rsidR="001402A3" w:rsidRPr="008B6018">
        <w:rPr>
          <w:rFonts w:cs="Times New Roman"/>
          <w:szCs w:val="20"/>
        </w:rPr>
        <w:t>reglement een verbod voorzag op de commercialisering van alle binaire opties en</w:t>
      </w:r>
      <w:r w:rsidR="00160F9B" w:rsidRPr="008B6018">
        <w:rPr>
          <w:rFonts w:cs="Times New Roman"/>
          <w:szCs w:val="20"/>
        </w:rPr>
        <w:t xml:space="preserve"> alle</w:t>
      </w:r>
      <w:r w:rsidR="001402A3" w:rsidRPr="008B6018">
        <w:rPr>
          <w:rFonts w:cs="Times New Roman"/>
          <w:szCs w:val="20"/>
        </w:rPr>
        <w:t xml:space="preserve"> CFD’s (doordat </w:t>
      </w:r>
      <w:r w:rsidR="00BA0AD1" w:rsidRPr="008B6018">
        <w:rPr>
          <w:rFonts w:cs="Times New Roman"/>
          <w:szCs w:val="20"/>
        </w:rPr>
        <w:t xml:space="preserve">het tweede reglement </w:t>
      </w:r>
      <w:r w:rsidR="001402A3" w:rsidRPr="008B6018">
        <w:rPr>
          <w:rFonts w:cs="Times New Roman"/>
          <w:szCs w:val="20"/>
        </w:rPr>
        <w:t xml:space="preserve">alle derivaten met </w:t>
      </w:r>
      <w:r w:rsidR="00160F9B" w:rsidRPr="008B6018">
        <w:rPr>
          <w:rFonts w:cs="Times New Roman"/>
          <w:szCs w:val="20"/>
        </w:rPr>
        <w:t>hefboomw</w:t>
      </w:r>
      <w:r w:rsidR="008C70F8" w:rsidRPr="008B6018">
        <w:rPr>
          <w:rFonts w:cs="Times New Roman"/>
          <w:szCs w:val="20"/>
        </w:rPr>
        <w:t>e</w:t>
      </w:r>
      <w:r w:rsidR="00160F9B" w:rsidRPr="008B6018">
        <w:rPr>
          <w:rFonts w:cs="Times New Roman"/>
          <w:szCs w:val="20"/>
        </w:rPr>
        <w:t>rking</w:t>
      </w:r>
      <w:r w:rsidR="001402A3" w:rsidRPr="008B6018">
        <w:rPr>
          <w:rFonts w:cs="Times New Roman"/>
          <w:szCs w:val="20"/>
        </w:rPr>
        <w:t xml:space="preserve"> </w:t>
      </w:r>
      <w:r w:rsidR="00BA0AD1" w:rsidRPr="008B6018">
        <w:rPr>
          <w:rFonts w:cs="Times New Roman"/>
          <w:szCs w:val="20"/>
        </w:rPr>
        <w:t>weerde</w:t>
      </w:r>
      <w:r w:rsidR="001402A3" w:rsidRPr="008B6018">
        <w:rPr>
          <w:rFonts w:cs="Times New Roman"/>
          <w:szCs w:val="20"/>
        </w:rPr>
        <w:t>), staat</w:t>
      </w:r>
      <w:r w:rsidR="008F5A9E" w:rsidRPr="008B6018">
        <w:rPr>
          <w:rFonts w:cs="Times New Roman"/>
          <w:szCs w:val="20"/>
        </w:rPr>
        <w:t xml:space="preserve"> de</w:t>
      </w:r>
      <w:r w:rsidR="001402A3" w:rsidRPr="008B6018">
        <w:rPr>
          <w:rFonts w:cs="Times New Roman"/>
          <w:szCs w:val="20"/>
        </w:rPr>
        <w:t xml:space="preserve"> ESMA bepaalde binaire opties</w:t>
      </w:r>
      <w:bookmarkStart w:id="11" w:name="_Ref531685518"/>
      <w:r w:rsidR="001402A3">
        <w:rPr>
          <w:rStyle w:val="Voetnootmarkering"/>
          <w:rFonts w:cs="Times New Roman"/>
          <w:szCs w:val="20"/>
        </w:rPr>
        <w:footnoteReference w:id="70"/>
      </w:r>
      <w:bookmarkEnd w:id="11"/>
      <w:r w:rsidR="001402A3" w:rsidRPr="008B6018">
        <w:rPr>
          <w:rFonts w:cs="Times New Roman"/>
          <w:szCs w:val="20"/>
        </w:rPr>
        <w:t xml:space="preserve"> en CFD’s</w:t>
      </w:r>
      <w:r w:rsidR="00C469BB">
        <w:rPr>
          <w:rStyle w:val="Voetnootmarkering"/>
          <w:rFonts w:cs="Times New Roman"/>
          <w:szCs w:val="20"/>
        </w:rPr>
        <w:footnoteReference w:id="71"/>
      </w:r>
      <w:r w:rsidR="001402A3" w:rsidRPr="008B6018">
        <w:rPr>
          <w:rFonts w:cs="Times New Roman"/>
          <w:szCs w:val="20"/>
        </w:rPr>
        <w:t xml:space="preserve"> nog toe.</w:t>
      </w:r>
      <w:r w:rsidR="00C469BB" w:rsidRPr="008B6018">
        <w:rPr>
          <w:rFonts w:cs="Times New Roman"/>
          <w:szCs w:val="20"/>
        </w:rPr>
        <w:t xml:space="preserve"> </w:t>
      </w:r>
      <w:r w:rsidR="001B0C26" w:rsidRPr="008B6018">
        <w:rPr>
          <w:rFonts w:cs="Times New Roman"/>
          <w:szCs w:val="20"/>
        </w:rPr>
        <w:t>Deze problematiek bestaat uit twee belangrijke rechtsvragen:</w:t>
      </w:r>
      <w:r w:rsidRPr="008B6018">
        <w:rPr>
          <w:rFonts w:cs="Times New Roman"/>
          <w:szCs w:val="20"/>
        </w:rPr>
        <w:t xml:space="preserve"> </w:t>
      </w:r>
      <w:r w:rsidR="000F17C0">
        <w:rPr>
          <w:rFonts w:cs="Times New Roman"/>
          <w:szCs w:val="20"/>
        </w:rPr>
        <w:t>k</w:t>
      </w:r>
      <w:r w:rsidR="001B0C26" w:rsidRPr="008B6018">
        <w:rPr>
          <w:rFonts w:cs="Times New Roman"/>
          <w:szCs w:val="16"/>
        </w:rPr>
        <w:t xml:space="preserve">unnen </w:t>
      </w:r>
      <w:r w:rsidRPr="008B6018">
        <w:rPr>
          <w:rFonts w:cs="Times New Roman"/>
          <w:szCs w:val="16"/>
        </w:rPr>
        <w:t>de reglementen</w:t>
      </w:r>
      <w:r w:rsidR="001B0C26" w:rsidRPr="008B6018">
        <w:rPr>
          <w:rFonts w:cs="Times New Roman"/>
          <w:szCs w:val="16"/>
        </w:rPr>
        <w:t xml:space="preserve"> die</w:t>
      </w:r>
      <w:r w:rsidRPr="008B6018">
        <w:rPr>
          <w:rFonts w:cs="Times New Roman"/>
          <w:szCs w:val="16"/>
        </w:rPr>
        <w:t xml:space="preserve"> destijds</w:t>
      </w:r>
      <w:r w:rsidR="001B0C26" w:rsidRPr="008B6018">
        <w:rPr>
          <w:rFonts w:cs="Times New Roman"/>
          <w:szCs w:val="16"/>
        </w:rPr>
        <w:t xml:space="preserve"> rechtsgeldig zijn genomen</w:t>
      </w:r>
      <w:r w:rsidRPr="008B6018">
        <w:rPr>
          <w:rFonts w:cs="Times New Roman"/>
          <w:szCs w:val="16"/>
        </w:rPr>
        <w:t xml:space="preserve"> </w:t>
      </w:r>
      <w:r w:rsidR="001B0C26" w:rsidRPr="008B6018">
        <w:rPr>
          <w:rFonts w:cs="Times New Roman"/>
          <w:szCs w:val="16"/>
        </w:rPr>
        <w:t>na de inwerkingtreding</w:t>
      </w:r>
      <w:r w:rsidRPr="008B6018">
        <w:rPr>
          <w:rFonts w:cs="Times New Roman"/>
          <w:szCs w:val="16"/>
        </w:rPr>
        <w:t xml:space="preserve"> van MiFIR en PRIIPS</w:t>
      </w:r>
      <w:r w:rsidR="001B0C26" w:rsidRPr="008B6018">
        <w:rPr>
          <w:rFonts w:cs="Times New Roman"/>
          <w:szCs w:val="16"/>
        </w:rPr>
        <w:t xml:space="preserve"> blijven verder bestaan</w:t>
      </w:r>
      <w:r w:rsidR="000E7BAF">
        <w:rPr>
          <w:rFonts w:cs="Times New Roman"/>
          <w:szCs w:val="16"/>
        </w:rPr>
        <w:t xml:space="preserve"> en</w:t>
      </w:r>
      <w:r w:rsidR="000F17C0">
        <w:rPr>
          <w:rFonts w:cs="Times New Roman"/>
          <w:szCs w:val="16"/>
        </w:rPr>
        <w:t xml:space="preserve">, </w:t>
      </w:r>
      <w:r w:rsidR="000E7BAF">
        <w:rPr>
          <w:rFonts w:cs="Times New Roman"/>
          <w:szCs w:val="16"/>
        </w:rPr>
        <w:t>voor zover</w:t>
      </w:r>
      <w:r w:rsidRPr="008B6018">
        <w:rPr>
          <w:rFonts w:cs="Times New Roman"/>
          <w:szCs w:val="16"/>
        </w:rPr>
        <w:t xml:space="preserve"> dit het geval is, kunnen deze regle</w:t>
      </w:r>
      <w:r w:rsidR="0007006A">
        <w:rPr>
          <w:rFonts w:cs="Times New Roman"/>
          <w:szCs w:val="16"/>
        </w:rPr>
        <w:softHyphen/>
      </w:r>
      <w:r w:rsidRPr="008B6018">
        <w:rPr>
          <w:rFonts w:cs="Times New Roman"/>
          <w:szCs w:val="16"/>
        </w:rPr>
        <w:t>menten ook gedurende een ESA-besluit blijven gelden?</w:t>
      </w:r>
      <w:bookmarkEnd w:id="9"/>
    </w:p>
    <w:p w:rsidR="00D54B88" w:rsidRPr="008F730D" w:rsidRDefault="008B6018" w:rsidP="001402A3">
      <w:pPr>
        <w:pStyle w:val="Lijstalinea"/>
        <w:numPr>
          <w:ilvl w:val="0"/>
          <w:numId w:val="3"/>
        </w:numPr>
        <w:spacing w:line="276" w:lineRule="auto"/>
      </w:pPr>
      <w:r w:rsidRPr="008B6018">
        <w:rPr>
          <w:rFonts w:cs="Times New Roman"/>
          <w:i/>
          <w:szCs w:val="20"/>
        </w:rPr>
        <w:t>Controverse</w:t>
      </w:r>
      <w:r>
        <w:rPr>
          <w:rFonts w:cs="Times New Roman"/>
          <w:szCs w:val="20"/>
        </w:rPr>
        <w:t xml:space="preserve"> </w:t>
      </w:r>
      <w:r w:rsidRPr="001402A3">
        <w:rPr>
          <w:rFonts w:cs="Times New Roman"/>
          <w:szCs w:val="20"/>
        </w:rPr>
        <w:t>‒</w:t>
      </w:r>
      <w:r>
        <w:rPr>
          <w:rFonts w:cs="Times New Roman"/>
          <w:szCs w:val="20"/>
        </w:rPr>
        <w:t xml:space="preserve"> De meningen zijn verdeeld over het antwoord op deze vragen. </w:t>
      </w:r>
      <w:r w:rsidR="00F42004">
        <w:rPr>
          <w:rFonts w:cs="Times New Roman"/>
          <w:szCs w:val="20"/>
        </w:rPr>
        <w:t xml:space="preserve">De </w:t>
      </w:r>
      <w:r w:rsidR="00F42004" w:rsidRPr="00F42004">
        <w:rPr>
          <w:rFonts w:cs="Times New Roman"/>
          <w:i/>
          <w:szCs w:val="16"/>
        </w:rPr>
        <w:t>European Securities and Markets Stakeholder Group</w:t>
      </w:r>
      <w:r w:rsidR="00F42004" w:rsidRPr="008D3595">
        <w:rPr>
          <w:rFonts w:cs="Times New Roman"/>
          <w:szCs w:val="16"/>
        </w:rPr>
        <w:t xml:space="preserve"> (SMSG)</w:t>
      </w:r>
      <w:r w:rsidR="00F42004">
        <w:rPr>
          <w:rFonts w:cs="Times New Roman"/>
          <w:szCs w:val="16"/>
        </w:rPr>
        <w:t xml:space="preserve"> </w:t>
      </w:r>
      <w:r w:rsidR="00EA5896">
        <w:rPr>
          <w:rFonts w:cs="Times New Roman"/>
          <w:szCs w:val="16"/>
        </w:rPr>
        <w:t>en COLAERT zijn</w:t>
      </w:r>
      <w:r w:rsidR="008C70F8">
        <w:rPr>
          <w:rFonts w:cs="Times New Roman"/>
          <w:szCs w:val="16"/>
        </w:rPr>
        <w:t xml:space="preserve"> van </w:t>
      </w:r>
      <w:r w:rsidR="00C842B4">
        <w:rPr>
          <w:rFonts w:cs="Times New Roman"/>
          <w:szCs w:val="16"/>
        </w:rPr>
        <w:t>oordeel</w:t>
      </w:r>
      <w:r w:rsidR="008C70F8">
        <w:rPr>
          <w:rFonts w:cs="Times New Roman"/>
          <w:szCs w:val="16"/>
        </w:rPr>
        <w:t xml:space="preserve"> dat </w:t>
      </w:r>
      <w:r>
        <w:rPr>
          <w:rFonts w:cs="Times New Roman"/>
          <w:szCs w:val="16"/>
        </w:rPr>
        <w:t xml:space="preserve">bestaande </w:t>
      </w:r>
      <w:r w:rsidR="008C70F8">
        <w:rPr>
          <w:rFonts w:cs="Times New Roman"/>
          <w:szCs w:val="16"/>
        </w:rPr>
        <w:t>productinterventies</w:t>
      </w:r>
      <w:r w:rsidR="00913DBC">
        <w:rPr>
          <w:rFonts w:cs="Times New Roman"/>
          <w:szCs w:val="16"/>
        </w:rPr>
        <w:t xml:space="preserve"> </w:t>
      </w:r>
      <w:r>
        <w:rPr>
          <w:rFonts w:cs="Times New Roman"/>
          <w:szCs w:val="16"/>
        </w:rPr>
        <w:t>rechtsgel</w:t>
      </w:r>
      <w:r w:rsidR="0007006A">
        <w:rPr>
          <w:rFonts w:cs="Times New Roman"/>
          <w:szCs w:val="16"/>
        </w:rPr>
        <w:softHyphen/>
      </w:r>
      <w:r>
        <w:rPr>
          <w:rFonts w:cs="Times New Roman"/>
          <w:szCs w:val="16"/>
        </w:rPr>
        <w:t xml:space="preserve">dig genomen </w:t>
      </w:r>
      <w:r w:rsidR="00913DBC">
        <w:rPr>
          <w:rFonts w:cs="Times New Roman"/>
          <w:szCs w:val="16"/>
        </w:rPr>
        <w:t xml:space="preserve">onder nationaal recht </w:t>
      </w:r>
      <w:r>
        <w:rPr>
          <w:rFonts w:cs="Times New Roman"/>
          <w:szCs w:val="16"/>
        </w:rPr>
        <w:t>na de inwerkingtreding</w:t>
      </w:r>
      <w:r w:rsidR="006A6540">
        <w:rPr>
          <w:rFonts w:cs="Times New Roman"/>
          <w:szCs w:val="16"/>
        </w:rPr>
        <w:t xml:space="preserve"> </w:t>
      </w:r>
      <w:r w:rsidR="00913DBC">
        <w:rPr>
          <w:rFonts w:cs="Times New Roman"/>
          <w:szCs w:val="16"/>
        </w:rPr>
        <w:t>moeten worden herbekeken in het licht van de nieuwe voorwaarden</w:t>
      </w:r>
      <w:r>
        <w:rPr>
          <w:rFonts w:cs="Times New Roman"/>
          <w:szCs w:val="16"/>
        </w:rPr>
        <w:t xml:space="preserve"> van MiFIR en PRIIPS</w:t>
      </w:r>
      <w:r w:rsidR="00913DBC">
        <w:rPr>
          <w:rFonts w:cs="Times New Roman"/>
          <w:szCs w:val="16"/>
        </w:rPr>
        <w:t>.</w:t>
      </w:r>
      <w:r w:rsidR="007A4300">
        <w:rPr>
          <w:rStyle w:val="Voetnootmarkering"/>
          <w:rFonts w:cs="Times New Roman"/>
          <w:szCs w:val="16"/>
        </w:rPr>
        <w:footnoteReference w:id="72"/>
      </w:r>
      <w:r w:rsidR="00913DBC">
        <w:rPr>
          <w:rFonts w:cs="Times New Roman"/>
          <w:szCs w:val="16"/>
        </w:rPr>
        <w:t xml:space="preserve"> </w:t>
      </w:r>
      <w:r>
        <w:rPr>
          <w:rFonts w:cs="Times New Roman"/>
          <w:szCs w:val="16"/>
        </w:rPr>
        <w:t>De</w:t>
      </w:r>
      <w:r w:rsidR="000E7BAF">
        <w:rPr>
          <w:rFonts w:cs="Times New Roman"/>
          <w:szCs w:val="16"/>
        </w:rPr>
        <w:t xml:space="preserve"> reglementen</w:t>
      </w:r>
      <w:r w:rsidR="00913DBC">
        <w:rPr>
          <w:rFonts w:cs="Times New Roman"/>
          <w:szCs w:val="16"/>
        </w:rPr>
        <w:t xml:space="preserve"> kunnen </w:t>
      </w:r>
      <w:r w:rsidR="000E7BAF">
        <w:rPr>
          <w:rFonts w:cs="Times New Roman"/>
          <w:szCs w:val="16"/>
        </w:rPr>
        <w:t xml:space="preserve">dus </w:t>
      </w:r>
      <w:r w:rsidR="00913DBC">
        <w:rPr>
          <w:rFonts w:cs="Times New Roman"/>
          <w:szCs w:val="16"/>
        </w:rPr>
        <w:t>enkel verder bestaan indien ze ook aan de nieuwe voorwaarden voldoen.</w:t>
      </w:r>
      <w:r w:rsidR="008C70F8">
        <w:rPr>
          <w:rFonts w:cs="Times New Roman"/>
          <w:szCs w:val="16"/>
        </w:rPr>
        <w:t xml:space="preserve"> </w:t>
      </w:r>
      <w:r w:rsidR="00AE3B7C">
        <w:rPr>
          <w:rFonts w:cs="Times New Roman"/>
          <w:szCs w:val="16"/>
        </w:rPr>
        <w:t xml:space="preserve">De wetgever </w:t>
      </w:r>
      <w:r w:rsidR="002F0F39">
        <w:rPr>
          <w:rFonts w:cs="Times New Roman"/>
          <w:szCs w:val="16"/>
        </w:rPr>
        <w:t>argumenteert</w:t>
      </w:r>
      <w:r w:rsidR="00AE3B7C">
        <w:rPr>
          <w:rFonts w:cs="Times New Roman"/>
          <w:szCs w:val="16"/>
        </w:rPr>
        <w:t xml:space="preserve"> in de memorie van toelichting </w:t>
      </w:r>
      <w:r w:rsidR="008C70F8">
        <w:rPr>
          <w:rFonts w:cs="Times New Roman"/>
          <w:szCs w:val="16"/>
        </w:rPr>
        <w:t>echter</w:t>
      </w:r>
      <w:r w:rsidR="00AE3B7C">
        <w:rPr>
          <w:rFonts w:cs="Times New Roman"/>
          <w:szCs w:val="16"/>
        </w:rPr>
        <w:t xml:space="preserve"> </w:t>
      </w:r>
      <w:r w:rsidR="008C70F8">
        <w:rPr>
          <w:rFonts w:cs="Times New Roman"/>
          <w:szCs w:val="16"/>
        </w:rPr>
        <w:t xml:space="preserve">dat MiFIR geen </w:t>
      </w:r>
      <w:r w:rsidR="008C70F8">
        <w:rPr>
          <w:rFonts w:cs="Times New Roman"/>
          <w:szCs w:val="16"/>
        </w:rPr>
        <w:lastRenderedPageBreak/>
        <w:t>terugwerkende kracht heeft</w:t>
      </w:r>
      <w:r w:rsidR="00C842B4">
        <w:rPr>
          <w:rFonts w:cs="Times New Roman"/>
          <w:szCs w:val="16"/>
        </w:rPr>
        <w:t xml:space="preserve"> (</w:t>
      </w:r>
      <w:r w:rsidR="00C842B4" w:rsidRPr="00C842B4">
        <w:rPr>
          <w:rFonts w:cs="Times New Roman"/>
          <w:i/>
          <w:szCs w:val="16"/>
        </w:rPr>
        <w:t>supra</w:t>
      </w:r>
      <w:r w:rsidR="00C842B4">
        <w:rPr>
          <w:rFonts w:cs="Times New Roman"/>
          <w:szCs w:val="16"/>
        </w:rPr>
        <w:t xml:space="preserve"> </w:t>
      </w:r>
      <w:r w:rsidR="00C842B4">
        <w:rPr>
          <w:rFonts w:cs="Times New Roman"/>
          <w:szCs w:val="16"/>
        </w:rPr>
        <w:fldChar w:fldCharType="begin"/>
      </w:r>
      <w:r w:rsidR="00C842B4">
        <w:rPr>
          <w:rFonts w:cs="Times New Roman"/>
          <w:szCs w:val="16"/>
        </w:rPr>
        <w:instrText xml:space="preserve"> PAGEREF _Ref533153099 \h </w:instrText>
      </w:r>
      <w:r w:rsidR="00C842B4">
        <w:rPr>
          <w:rFonts w:cs="Times New Roman"/>
          <w:szCs w:val="16"/>
        </w:rPr>
      </w:r>
      <w:r w:rsidR="00C842B4">
        <w:rPr>
          <w:rFonts w:cs="Times New Roman"/>
          <w:szCs w:val="16"/>
        </w:rPr>
        <w:fldChar w:fldCharType="separate"/>
      </w:r>
      <w:r w:rsidR="00C842B4">
        <w:rPr>
          <w:rFonts w:cs="Times New Roman"/>
          <w:noProof/>
          <w:szCs w:val="16"/>
        </w:rPr>
        <w:t>9</w:t>
      </w:r>
      <w:r w:rsidR="00C842B4">
        <w:rPr>
          <w:rFonts w:cs="Times New Roman"/>
          <w:szCs w:val="16"/>
        </w:rPr>
        <w:fldChar w:fldCharType="end"/>
      </w:r>
      <w:r w:rsidR="00C842B4">
        <w:rPr>
          <w:rFonts w:cs="Times New Roman"/>
          <w:szCs w:val="16"/>
        </w:rPr>
        <w:t xml:space="preserve"> nr. </w:t>
      </w:r>
      <w:r w:rsidR="00C842B4">
        <w:rPr>
          <w:rFonts w:cs="Times New Roman"/>
          <w:szCs w:val="16"/>
        </w:rPr>
        <w:fldChar w:fldCharType="begin"/>
      </w:r>
      <w:r w:rsidR="00C842B4">
        <w:rPr>
          <w:rFonts w:cs="Times New Roman"/>
          <w:szCs w:val="16"/>
        </w:rPr>
        <w:instrText xml:space="preserve"> REF _Ref533153099 \r \h </w:instrText>
      </w:r>
      <w:r w:rsidR="00C842B4">
        <w:rPr>
          <w:rFonts w:cs="Times New Roman"/>
          <w:szCs w:val="16"/>
        </w:rPr>
      </w:r>
      <w:r w:rsidR="00C842B4">
        <w:rPr>
          <w:rFonts w:cs="Times New Roman"/>
          <w:szCs w:val="16"/>
        </w:rPr>
        <w:fldChar w:fldCharType="separate"/>
      </w:r>
      <w:r w:rsidR="00C842B4">
        <w:rPr>
          <w:rFonts w:cs="Times New Roman"/>
          <w:szCs w:val="16"/>
        </w:rPr>
        <w:t>13</w:t>
      </w:r>
      <w:r w:rsidR="00C842B4">
        <w:rPr>
          <w:rFonts w:cs="Times New Roman"/>
          <w:szCs w:val="16"/>
        </w:rPr>
        <w:fldChar w:fldCharType="end"/>
      </w:r>
      <w:r w:rsidR="00C842B4">
        <w:rPr>
          <w:rFonts w:cs="Times New Roman"/>
          <w:szCs w:val="16"/>
        </w:rPr>
        <w:t>)</w:t>
      </w:r>
      <w:r w:rsidR="00266AB0">
        <w:rPr>
          <w:rFonts w:cs="Times New Roman"/>
          <w:szCs w:val="16"/>
        </w:rPr>
        <w:t xml:space="preserve"> en leidt daaruit af dat de</w:t>
      </w:r>
      <w:r w:rsidR="00EA5896">
        <w:rPr>
          <w:rFonts w:cs="Times New Roman"/>
          <w:szCs w:val="16"/>
        </w:rPr>
        <w:t xml:space="preserve"> bestaande</w:t>
      </w:r>
      <w:r w:rsidR="00266AB0">
        <w:rPr>
          <w:rFonts w:cs="Times New Roman"/>
          <w:szCs w:val="16"/>
        </w:rPr>
        <w:t xml:space="preserve"> reglementen</w:t>
      </w:r>
      <w:r w:rsidR="002F0F39">
        <w:rPr>
          <w:rFonts w:cs="Times New Roman"/>
          <w:szCs w:val="16"/>
        </w:rPr>
        <w:t xml:space="preserve"> </w:t>
      </w:r>
      <w:r w:rsidR="00266AB0">
        <w:rPr>
          <w:rFonts w:cs="Times New Roman"/>
          <w:szCs w:val="16"/>
        </w:rPr>
        <w:t>van toepassing blij</w:t>
      </w:r>
      <w:r w:rsidR="0007006A">
        <w:rPr>
          <w:rFonts w:cs="Times New Roman"/>
          <w:szCs w:val="16"/>
        </w:rPr>
        <w:softHyphen/>
      </w:r>
      <w:r w:rsidR="00266AB0">
        <w:rPr>
          <w:rFonts w:cs="Times New Roman"/>
          <w:szCs w:val="16"/>
        </w:rPr>
        <w:t>ven.</w:t>
      </w:r>
      <w:r w:rsidR="00AE3B7C">
        <w:rPr>
          <w:rStyle w:val="Voetnootmarkering"/>
          <w:rFonts w:cs="Times New Roman"/>
          <w:szCs w:val="16"/>
        </w:rPr>
        <w:footnoteReference w:id="73"/>
      </w:r>
      <w:r w:rsidR="00266AB0">
        <w:rPr>
          <w:rFonts w:cs="Times New Roman"/>
          <w:szCs w:val="16"/>
        </w:rPr>
        <w:t xml:space="preserve"> </w:t>
      </w:r>
      <w:r w:rsidR="002F0F39">
        <w:rPr>
          <w:rFonts w:cs="Times New Roman"/>
          <w:szCs w:val="16"/>
        </w:rPr>
        <w:t>Ook SERVAIS is deze mening toegedaan</w:t>
      </w:r>
      <w:r w:rsidR="00EA5896">
        <w:rPr>
          <w:rFonts w:cs="Times New Roman"/>
          <w:szCs w:val="16"/>
        </w:rPr>
        <w:t xml:space="preserve"> en stelt</w:t>
      </w:r>
      <w:r w:rsidR="00ED5BA1">
        <w:rPr>
          <w:rFonts w:cs="Times New Roman"/>
          <w:szCs w:val="20"/>
        </w:rPr>
        <w:t xml:space="preserve"> </w:t>
      </w:r>
      <w:r w:rsidR="008C70F8">
        <w:rPr>
          <w:rFonts w:cs="Times New Roman"/>
          <w:szCs w:val="20"/>
        </w:rPr>
        <w:t xml:space="preserve">bovendien </w:t>
      </w:r>
      <w:r w:rsidR="00ED5BA1">
        <w:rPr>
          <w:rFonts w:cs="Times New Roman"/>
          <w:szCs w:val="20"/>
        </w:rPr>
        <w:t>dat</w:t>
      </w:r>
      <w:r w:rsidR="00ED5BA1" w:rsidRPr="001402A3">
        <w:rPr>
          <w:rFonts w:cs="Times New Roman"/>
          <w:szCs w:val="20"/>
        </w:rPr>
        <w:t xml:space="preserve"> </w:t>
      </w:r>
      <w:r w:rsidR="008C70F8">
        <w:rPr>
          <w:rFonts w:cs="Times New Roman"/>
          <w:szCs w:val="20"/>
        </w:rPr>
        <w:t>reglementen</w:t>
      </w:r>
      <w:r w:rsidR="00ED5BA1" w:rsidRPr="001402A3">
        <w:rPr>
          <w:rFonts w:cs="Times New Roman"/>
          <w:szCs w:val="20"/>
        </w:rPr>
        <w:t xml:space="preserve"> genomen vóór de inwerking</w:t>
      </w:r>
      <w:r w:rsidR="0007006A">
        <w:rPr>
          <w:rFonts w:cs="Times New Roman"/>
          <w:szCs w:val="20"/>
        </w:rPr>
        <w:softHyphen/>
      </w:r>
      <w:r w:rsidR="00ED5BA1" w:rsidRPr="001402A3">
        <w:rPr>
          <w:rFonts w:cs="Times New Roman"/>
          <w:szCs w:val="20"/>
        </w:rPr>
        <w:t>tredi</w:t>
      </w:r>
      <w:r w:rsidR="00ED5BA1">
        <w:rPr>
          <w:rFonts w:cs="Times New Roman"/>
          <w:szCs w:val="20"/>
        </w:rPr>
        <w:t>ng van MiFIR (maar dus ook PRIIPS)</w:t>
      </w:r>
      <w:r w:rsidR="00ED5BA1" w:rsidRPr="001402A3">
        <w:rPr>
          <w:rFonts w:cs="Times New Roman"/>
          <w:szCs w:val="20"/>
        </w:rPr>
        <w:t xml:space="preserve"> zelfs</w:t>
      </w:r>
      <w:r w:rsidR="002F0F39">
        <w:rPr>
          <w:rFonts w:cs="Times New Roman"/>
          <w:szCs w:val="20"/>
        </w:rPr>
        <w:t xml:space="preserve"> blijven gelden</w:t>
      </w:r>
      <w:r w:rsidR="00ED5BA1" w:rsidRPr="001402A3">
        <w:rPr>
          <w:rFonts w:cs="Times New Roman"/>
          <w:szCs w:val="20"/>
        </w:rPr>
        <w:t xml:space="preserve"> gedurende de looptijd van een besl</w:t>
      </w:r>
      <w:r w:rsidR="00ED5BA1">
        <w:rPr>
          <w:rFonts w:cs="Times New Roman"/>
          <w:szCs w:val="20"/>
        </w:rPr>
        <w:t xml:space="preserve">uit genomen naar Europees recht. MiFIR zou dit toestaan omdat een strengere </w:t>
      </w:r>
      <w:r w:rsidR="008C70F8">
        <w:rPr>
          <w:rFonts w:cs="Times New Roman"/>
          <w:szCs w:val="20"/>
        </w:rPr>
        <w:t>interventie</w:t>
      </w:r>
      <w:r w:rsidR="00ED5BA1">
        <w:rPr>
          <w:rFonts w:cs="Times New Roman"/>
          <w:szCs w:val="20"/>
        </w:rPr>
        <w:t xml:space="preserve">maatregel niet strijdig is met </w:t>
      </w:r>
      <w:r w:rsidR="00EA5896">
        <w:rPr>
          <w:rFonts w:cs="Times New Roman"/>
          <w:szCs w:val="20"/>
        </w:rPr>
        <w:t>de doel</w:t>
      </w:r>
      <w:r w:rsidR="0007006A">
        <w:rPr>
          <w:rFonts w:cs="Times New Roman"/>
          <w:szCs w:val="20"/>
        </w:rPr>
        <w:softHyphen/>
      </w:r>
      <w:r w:rsidR="00EA5896">
        <w:rPr>
          <w:rFonts w:cs="Times New Roman"/>
          <w:szCs w:val="20"/>
        </w:rPr>
        <w:t>stelling van beleggersbescherming</w:t>
      </w:r>
      <w:r w:rsidR="00ED5BA1">
        <w:rPr>
          <w:rFonts w:cs="Times New Roman"/>
          <w:szCs w:val="20"/>
        </w:rPr>
        <w:t>.</w:t>
      </w:r>
      <w:r w:rsidR="00ED5BA1">
        <w:rPr>
          <w:rStyle w:val="Voetnootmarkering"/>
          <w:rFonts w:cs="Times New Roman"/>
          <w:szCs w:val="20"/>
        </w:rPr>
        <w:footnoteReference w:id="74"/>
      </w:r>
      <w:r w:rsidR="00EA5896" w:rsidRPr="00EA5896">
        <w:rPr>
          <w:rFonts w:cs="Times New Roman"/>
          <w:szCs w:val="20"/>
        </w:rPr>
        <w:t xml:space="preserve"> </w:t>
      </w:r>
      <w:r w:rsidR="00EA5896" w:rsidRPr="001402A3">
        <w:rPr>
          <w:rFonts w:cs="Times New Roman"/>
          <w:szCs w:val="20"/>
        </w:rPr>
        <w:t>COLAERT</w:t>
      </w:r>
      <w:r w:rsidR="00EA5896">
        <w:rPr>
          <w:rFonts w:cs="Times New Roman"/>
          <w:szCs w:val="20"/>
        </w:rPr>
        <w:t xml:space="preserve"> wijst daarentegen op het</w:t>
      </w:r>
      <w:r w:rsidR="00EA5896" w:rsidRPr="001402A3">
        <w:rPr>
          <w:rFonts w:cs="Times New Roman"/>
          <w:szCs w:val="20"/>
        </w:rPr>
        <w:t xml:space="preserve"> maxima</w:t>
      </w:r>
      <w:r w:rsidR="00EA5896">
        <w:rPr>
          <w:rFonts w:cs="Times New Roman"/>
          <w:szCs w:val="20"/>
        </w:rPr>
        <w:t>le</w:t>
      </w:r>
      <w:r w:rsidR="00EA5896" w:rsidRPr="001402A3">
        <w:rPr>
          <w:rFonts w:cs="Times New Roman"/>
          <w:szCs w:val="20"/>
        </w:rPr>
        <w:t xml:space="preserve"> harmoniserend</w:t>
      </w:r>
      <w:r w:rsidR="00EA5896">
        <w:rPr>
          <w:rFonts w:cs="Times New Roman"/>
          <w:szCs w:val="20"/>
        </w:rPr>
        <w:t>e</w:t>
      </w:r>
      <w:r w:rsidR="00EA5896" w:rsidRPr="001402A3">
        <w:rPr>
          <w:rFonts w:cs="Times New Roman"/>
          <w:szCs w:val="20"/>
        </w:rPr>
        <w:t xml:space="preserve"> effect </w:t>
      </w:r>
      <w:r w:rsidR="00EA5896">
        <w:rPr>
          <w:rFonts w:cs="Times New Roman"/>
          <w:szCs w:val="20"/>
        </w:rPr>
        <w:t>van besluiten van</w:t>
      </w:r>
      <w:r w:rsidR="002F0F39">
        <w:rPr>
          <w:rFonts w:cs="Times New Roman"/>
          <w:szCs w:val="20"/>
        </w:rPr>
        <w:t xml:space="preserve"> een</w:t>
      </w:r>
      <w:r w:rsidR="00EA5896">
        <w:rPr>
          <w:rFonts w:cs="Times New Roman"/>
          <w:szCs w:val="20"/>
        </w:rPr>
        <w:t xml:space="preserve"> </w:t>
      </w:r>
      <w:r w:rsidR="00EA5896" w:rsidRPr="008F5A9E">
        <w:rPr>
          <w:rFonts w:cs="Times New Roman"/>
          <w:i/>
          <w:szCs w:val="20"/>
        </w:rPr>
        <w:t>European Supervisory Authorit</w:t>
      </w:r>
      <w:r w:rsidR="002F0F39">
        <w:rPr>
          <w:rFonts w:cs="Times New Roman"/>
          <w:i/>
          <w:szCs w:val="20"/>
        </w:rPr>
        <w:t>y</w:t>
      </w:r>
      <w:r w:rsidR="002F0F39">
        <w:rPr>
          <w:rStyle w:val="Voetnootmarkering"/>
          <w:rFonts w:cs="Times New Roman"/>
          <w:i/>
          <w:szCs w:val="20"/>
        </w:rPr>
        <w:footnoteReference w:id="75"/>
      </w:r>
      <w:r w:rsidR="00EA5896">
        <w:rPr>
          <w:rFonts w:cs="Times New Roman"/>
          <w:szCs w:val="20"/>
        </w:rPr>
        <w:t xml:space="preserve"> (ESA). Ve</w:t>
      </w:r>
      <w:r w:rsidR="00EA5896" w:rsidRPr="001402A3">
        <w:rPr>
          <w:rFonts w:cs="Times New Roman"/>
          <w:szCs w:val="20"/>
        </w:rPr>
        <w:t>rdergaande maatregelen van nationale autoriteiten</w:t>
      </w:r>
      <w:r w:rsidR="00EA5896">
        <w:rPr>
          <w:rFonts w:cs="Times New Roman"/>
          <w:szCs w:val="20"/>
        </w:rPr>
        <w:t xml:space="preserve"> gelden</w:t>
      </w:r>
      <w:r w:rsidR="00EA5896" w:rsidRPr="001402A3">
        <w:rPr>
          <w:rFonts w:cs="Times New Roman"/>
          <w:szCs w:val="20"/>
        </w:rPr>
        <w:t xml:space="preserve"> </w:t>
      </w:r>
      <w:r w:rsidR="00EA5896">
        <w:rPr>
          <w:rFonts w:cs="Times New Roman"/>
          <w:szCs w:val="20"/>
        </w:rPr>
        <w:t xml:space="preserve">dan ook </w:t>
      </w:r>
      <w:r w:rsidR="00EA5896" w:rsidRPr="001402A3">
        <w:rPr>
          <w:rFonts w:cs="Times New Roman"/>
          <w:szCs w:val="20"/>
        </w:rPr>
        <w:t xml:space="preserve">niet meer gedurende de </w:t>
      </w:r>
      <w:r w:rsidR="00EA5896">
        <w:rPr>
          <w:rFonts w:cs="Times New Roman"/>
          <w:szCs w:val="20"/>
        </w:rPr>
        <w:t>loop</w:t>
      </w:r>
      <w:r w:rsidR="00EA5896" w:rsidRPr="001402A3">
        <w:rPr>
          <w:rFonts w:cs="Times New Roman"/>
          <w:szCs w:val="20"/>
        </w:rPr>
        <w:t xml:space="preserve">tijd van </w:t>
      </w:r>
      <w:r w:rsidR="00EA5896">
        <w:rPr>
          <w:rFonts w:cs="Times New Roman"/>
          <w:szCs w:val="20"/>
        </w:rPr>
        <w:t>een</w:t>
      </w:r>
      <w:r w:rsidR="00EA5896" w:rsidRPr="001402A3">
        <w:rPr>
          <w:rFonts w:cs="Times New Roman"/>
          <w:szCs w:val="20"/>
        </w:rPr>
        <w:t xml:space="preserve"> tijdelijke maatregel.</w:t>
      </w:r>
      <w:r w:rsidR="00EA5896" w:rsidRPr="008E53EC">
        <w:rPr>
          <w:rStyle w:val="Voetnootmarkering"/>
          <w:rFonts w:cs="Times New Roman"/>
          <w:szCs w:val="20"/>
        </w:rPr>
        <w:footnoteReference w:id="76"/>
      </w:r>
      <w:r w:rsidR="00EA5896" w:rsidRPr="001402A3">
        <w:rPr>
          <w:rFonts w:cs="Times New Roman"/>
          <w:szCs w:val="20"/>
        </w:rPr>
        <w:t xml:space="preserve"> Het reglement is bijgevolg als het ware ‘geschorst’ tot het ogenblik waarop de besluiten </w:t>
      </w:r>
      <w:r w:rsidR="00EA5896">
        <w:rPr>
          <w:rFonts w:cs="Times New Roman"/>
          <w:szCs w:val="20"/>
        </w:rPr>
        <w:t>zouden vervallen.</w:t>
      </w:r>
    </w:p>
    <w:p w:rsidR="001E2183" w:rsidRPr="001E2183" w:rsidRDefault="00522B88" w:rsidP="005E54E0">
      <w:pPr>
        <w:pStyle w:val="Lijstalinea"/>
        <w:numPr>
          <w:ilvl w:val="0"/>
          <w:numId w:val="3"/>
        </w:numPr>
        <w:spacing w:line="276" w:lineRule="auto"/>
        <w:rPr>
          <w:rFonts w:cs="Times New Roman"/>
          <w:szCs w:val="20"/>
        </w:rPr>
      </w:pPr>
      <w:bookmarkStart w:id="13" w:name="_Ref533154084"/>
      <w:r>
        <w:rPr>
          <w:rFonts w:cs="Times New Roman"/>
          <w:i/>
          <w:szCs w:val="16"/>
        </w:rPr>
        <w:t>Retroactieve</w:t>
      </w:r>
      <w:r w:rsidR="000F17C0">
        <w:rPr>
          <w:rFonts w:cs="Times New Roman"/>
          <w:i/>
          <w:szCs w:val="16"/>
        </w:rPr>
        <w:t xml:space="preserve"> werking</w:t>
      </w:r>
      <w:r>
        <w:rPr>
          <w:rFonts w:cs="Times New Roman"/>
          <w:i/>
          <w:szCs w:val="16"/>
        </w:rPr>
        <w:t>?</w:t>
      </w:r>
      <w:r w:rsidR="000F17C0" w:rsidRPr="00522B88">
        <w:rPr>
          <w:rFonts w:cs="Times New Roman"/>
          <w:szCs w:val="16"/>
        </w:rPr>
        <w:t xml:space="preserve"> </w:t>
      </w:r>
      <w:r w:rsidR="00EA5896" w:rsidRPr="00522B88">
        <w:rPr>
          <w:rFonts w:cs="Times New Roman"/>
          <w:szCs w:val="20"/>
        </w:rPr>
        <w:t>‒</w:t>
      </w:r>
      <w:r w:rsidR="00EA5896" w:rsidRPr="00522B88">
        <w:rPr>
          <w:rFonts w:cs="Times New Roman"/>
          <w:szCs w:val="16"/>
        </w:rPr>
        <w:t xml:space="preserve"> </w:t>
      </w:r>
      <w:r w:rsidR="001A7539">
        <w:rPr>
          <w:rFonts w:cs="Times New Roman"/>
          <w:szCs w:val="16"/>
        </w:rPr>
        <w:t xml:space="preserve">Uit de </w:t>
      </w:r>
      <w:r w:rsidR="003D2DA8">
        <w:rPr>
          <w:rFonts w:cs="Times New Roman"/>
          <w:szCs w:val="16"/>
        </w:rPr>
        <w:t>inwerkingtreding</w:t>
      </w:r>
      <w:r w:rsidR="001A7539">
        <w:rPr>
          <w:rFonts w:cs="Times New Roman"/>
          <w:szCs w:val="16"/>
        </w:rPr>
        <w:t xml:space="preserve"> van </w:t>
      </w:r>
      <w:r>
        <w:rPr>
          <w:rFonts w:cs="Times New Roman"/>
          <w:szCs w:val="16"/>
        </w:rPr>
        <w:t>MiFIR en PRIIPS</w:t>
      </w:r>
      <w:r w:rsidR="001A7539">
        <w:rPr>
          <w:rFonts w:cs="Times New Roman"/>
          <w:szCs w:val="16"/>
        </w:rPr>
        <w:t xml:space="preserve"> </w:t>
      </w:r>
      <w:r w:rsidR="009C68E3">
        <w:rPr>
          <w:rFonts w:cs="Times New Roman"/>
          <w:szCs w:val="16"/>
        </w:rPr>
        <w:t>volgt dat i</w:t>
      </w:r>
      <w:r w:rsidR="006A31F4">
        <w:rPr>
          <w:rFonts w:cs="Times New Roman"/>
          <w:szCs w:val="16"/>
        </w:rPr>
        <w:t xml:space="preserve">edere </w:t>
      </w:r>
      <w:r w:rsidR="005F46B1">
        <w:rPr>
          <w:rFonts w:cs="Times New Roman"/>
          <w:szCs w:val="16"/>
        </w:rPr>
        <w:t>situatie waar</w:t>
      </w:r>
      <w:r w:rsidR="00877B46">
        <w:rPr>
          <w:rFonts w:cs="Times New Roman"/>
          <w:szCs w:val="16"/>
        </w:rPr>
        <w:t>bij</w:t>
      </w:r>
      <w:r w:rsidR="005F46B1">
        <w:rPr>
          <w:rFonts w:cs="Times New Roman"/>
          <w:szCs w:val="16"/>
        </w:rPr>
        <w:t xml:space="preserve"> een aanbieder financiële instrumenten</w:t>
      </w:r>
      <w:r w:rsidR="00A378EE">
        <w:rPr>
          <w:rFonts w:cs="Times New Roman"/>
          <w:szCs w:val="16"/>
        </w:rPr>
        <w:t>,</w:t>
      </w:r>
      <w:r w:rsidR="005F46B1">
        <w:rPr>
          <w:rFonts w:cs="Times New Roman"/>
          <w:szCs w:val="16"/>
        </w:rPr>
        <w:t xml:space="preserve"> gestructureerde deposito</w:t>
      </w:r>
      <w:r w:rsidR="00A378EE">
        <w:rPr>
          <w:rFonts w:cs="Times New Roman"/>
          <w:szCs w:val="16"/>
        </w:rPr>
        <w:t>’</w:t>
      </w:r>
      <w:r w:rsidR="005F46B1">
        <w:rPr>
          <w:rFonts w:cs="Times New Roman"/>
          <w:szCs w:val="16"/>
        </w:rPr>
        <w:t>s</w:t>
      </w:r>
      <w:r w:rsidR="00A378EE">
        <w:rPr>
          <w:rFonts w:cs="Times New Roman"/>
          <w:szCs w:val="16"/>
        </w:rPr>
        <w:t xml:space="preserve"> of verzekeringsgebaseerde beleggingsproducten</w:t>
      </w:r>
      <w:r w:rsidR="005F46B1">
        <w:rPr>
          <w:rFonts w:cs="Times New Roman"/>
          <w:szCs w:val="16"/>
        </w:rPr>
        <w:t xml:space="preserve"> op de markt brengt, verspreid of verkoopt, </w:t>
      </w:r>
      <w:r w:rsidR="003D2DA8">
        <w:rPr>
          <w:rFonts w:cs="Times New Roman"/>
          <w:szCs w:val="16"/>
        </w:rPr>
        <w:t>sindsdien</w:t>
      </w:r>
      <w:r w:rsidR="009C68E3">
        <w:rPr>
          <w:rFonts w:cs="Times New Roman"/>
          <w:szCs w:val="16"/>
        </w:rPr>
        <w:t xml:space="preserve"> </w:t>
      </w:r>
      <w:r w:rsidR="004D41AA">
        <w:rPr>
          <w:rFonts w:cs="Times New Roman"/>
          <w:szCs w:val="16"/>
        </w:rPr>
        <w:t xml:space="preserve">onder het toepassingsgebied valt </w:t>
      </w:r>
      <w:r w:rsidR="00A378EE">
        <w:rPr>
          <w:rFonts w:cs="Times New Roman"/>
          <w:szCs w:val="16"/>
        </w:rPr>
        <w:t>van de</w:t>
      </w:r>
      <w:r>
        <w:rPr>
          <w:rFonts w:cs="Times New Roman"/>
          <w:szCs w:val="16"/>
        </w:rPr>
        <w:t>ze</w:t>
      </w:r>
      <w:r w:rsidR="00A378EE">
        <w:rPr>
          <w:rFonts w:cs="Times New Roman"/>
          <w:szCs w:val="16"/>
        </w:rPr>
        <w:t xml:space="preserve"> verordeningen.</w:t>
      </w:r>
      <w:r w:rsidR="00A378EE">
        <w:rPr>
          <w:rStyle w:val="Voetnootmarkering"/>
          <w:rFonts w:cs="Times New Roman"/>
          <w:szCs w:val="16"/>
        </w:rPr>
        <w:footnoteReference w:id="77"/>
      </w:r>
      <w:r w:rsidR="00877B46">
        <w:rPr>
          <w:rFonts w:cs="Times New Roman"/>
          <w:szCs w:val="16"/>
        </w:rPr>
        <w:t xml:space="preserve"> </w:t>
      </w:r>
      <w:r w:rsidR="00A378EE">
        <w:rPr>
          <w:rFonts w:cs="Times New Roman"/>
          <w:szCs w:val="16"/>
        </w:rPr>
        <w:t>De FSMA-reglementen hadden betrekking op de</w:t>
      </w:r>
      <w:r w:rsidR="001A7539">
        <w:rPr>
          <w:rFonts w:cs="Times New Roman"/>
          <w:szCs w:val="16"/>
        </w:rPr>
        <w:t xml:space="preserve"> commercialisering van financiële producten</w:t>
      </w:r>
      <w:r w:rsidR="003D2DA8">
        <w:rPr>
          <w:rFonts w:cs="Times New Roman"/>
          <w:szCs w:val="16"/>
        </w:rPr>
        <w:t xml:space="preserve"> en viseren </w:t>
      </w:r>
      <w:r w:rsidR="00882805">
        <w:rPr>
          <w:rFonts w:cs="Times New Roman"/>
          <w:szCs w:val="16"/>
        </w:rPr>
        <w:t xml:space="preserve">bijgevolg </w:t>
      </w:r>
      <w:r w:rsidR="003D2DA8">
        <w:rPr>
          <w:rFonts w:cs="Times New Roman"/>
          <w:szCs w:val="16"/>
        </w:rPr>
        <w:t>dezelfde feitelijke situaties</w:t>
      </w:r>
      <w:r w:rsidR="000F17C0">
        <w:rPr>
          <w:rFonts w:cs="Times New Roman"/>
          <w:szCs w:val="16"/>
        </w:rPr>
        <w:t>.</w:t>
      </w:r>
      <w:r>
        <w:rPr>
          <w:rFonts w:cs="Times New Roman"/>
          <w:szCs w:val="16"/>
        </w:rPr>
        <w:t xml:space="preserve"> </w:t>
      </w:r>
      <w:r w:rsidR="00877B46">
        <w:rPr>
          <w:rFonts w:cs="Times New Roman"/>
          <w:szCs w:val="16"/>
        </w:rPr>
        <w:t>Het is dit ogenblik waarop een aanbieder de financiële producten commercialiseert dat van belang is om te bepalen welk juridisch regime van toepassing is. S</w:t>
      </w:r>
      <w:r>
        <w:rPr>
          <w:rFonts w:cs="Times New Roman"/>
          <w:szCs w:val="16"/>
        </w:rPr>
        <w:t xml:space="preserve">inds respectievelijk 3 januari 2018 voor MiFIR en 1 januari 2018 voor PRIIPS </w:t>
      </w:r>
      <w:r w:rsidR="00877B46">
        <w:rPr>
          <w:rFonts w:cs="Times New Roman"/>
          <w:szCs w:val="16"/>
        </w:rPr>
        <w:t xml:space="preserve">valt iedere vorm van commercialisering </w:t>
      </w:r>
      <w:r>
        <w:rPr>
          <w:rFonts w:cs="Times New Roman"/>
          <w:szCs w:val="16"/>
        </w:rPr>
        <w:t>onder de geharmoniseerde regimes van deze twee verordeningen</w:t>
      </w:r>
      <w:r w:rsidR="000D695A">
        <w:rPr>
          <w:rFonts w:cs="Times New Roman"/>
          <w:szCs w:val="16"/>
        </w:rPr>
        <w:t>. Iedere beperking of verbod op deze commercialisering moet sindsdien plaatsvinden onder de</w:t>
      </w:r>
      <w:r w:rsidR="00877B46">
        <w:rPr>
          <w:rFonts w:cs="Times New Roman"/>
          <w:szCs w:val="16"/>
        </w:rPr>
        <w:t xml:space="preserve"> voorwaarden</w:t>
      </w:r>
      <w:r w:rsidR="000D695A">
        <w:rPr>
          <w:rFonts w:cs="Times New Roman"/>
          <w:szCs w:val="16"/>
        </w:rPr>
        <w:t xml:space="preserve"> die daar</w:t>
      </w:r>
      <w:r w:rsidR="006D0D4B">
        <w:rPr>
          <w:rFonts w:cs="Times New Roman"/>
          <w:szCs w:val="16"/>
        </w:rPr>
        <w:t>bij</w:t>
      </w:r>
      <w:r w:rsidR="000D695A">
        <w:rPr>
          <w:rFonts w:cs="Times New Roman"/>
          <w:szCs w:val="16"/>
        </w:rPr>
        <w:t xml:space="preserve"> gelden</w:t>
      </w:r>
      <w:r>
        <w:rPr>
          <w:rFonts w:cs="Times New Roman"/>
          <w:szCs w:val="16"/>
        </w:rPr>
        <w:t>.</w:t>
      </w:r>
      <w:r w:rsidR="006D0D4B">
        <w:rPr>
          <w:rFonts w:cs="Times New Roman"/>
          <w:szCs w:val="16"/>
        </w:rPr>
        <w:t xml:space="preserve"> De notie dat de beperking of het verbod reeds bestond en rechtsgeldig werd genomen onder het vroegere geldende recht is daarbij van geen belang. </w:t>
      </w:r>
      <w:r w:rsidR="000D695A">
        <w:rPr>
          <w:rFonts w:cs="Times New Roman"/>
          <w:szCs w:val="16"/>
        </w:rPr>
        <w:t xml:space="preserve">Dit volgt </w:t>
      </w:r>
      <w:r w:rsidR="006D0D4B">
        <w:rPr>
          <w:rFonts w:cs="Times New Roman"/>
          <w:szCs w:val="16"/>
        </w:rPr>
        <w:t xml:space="preserve">enerzijds </w:t>
      </w:r>
      <w:r w:rsidR="000D695A">
        <w:rPr>
          <w:rFonts w:cs="Times New Roman"/>
          <w:szCs w:val="16"/>
        </w:rPr>
        <w:t>uit de onmiddel</w:t>
      </w:r>
      <w:r w:rsidR="0007006A">
        <w:rPr>
          <w:rFonts w:cs="Times New Roman"/>
          <w:szCs w:val="16"/>
        </w:rPr>
        <w:softHyphen/>
      </w:r>
      <w:r w:rsidR="000D695A">
        <w:rPr>
          <w:rFonts w:cs="Times New Roman"/>
          <w:szCs w:val="16"/>
        </w:rPr>
        <w:t>lijke werking van de nieuwe wet</w:t>
      </w:r>
      <w:r w:rsidR="006D0D4B">
        <w:rPr>
          <w:rFonts w:cs="Times New Roman"/>
          <w:szCs w:val="16"/>
        </w:rPr>
        <w:t xml:space="preserve"> en anderzijds uit de doelstelling van de Europese wetgever om uniforme voor</w:t>
      </w:r>
      <w:r w:rsidR="0007006A">
        <w:rPr>
          <w:rFonts w:cs="Times New Roman"/>
          <w:szCs w:val="16"/>
        </w:rPr>
        <w:softHyphen/>
      </w:r>
      <w:r w:rsidR="006D0D4B">
        <w:rPr>
          <w:rFonts w:cs="Times New Roman"/>
          <w:szCs w:val="16"/>
        </w:rPr>
        <w:t>waarden in alle lidstaten tot stand te brengen voor financiële productinterventies (</w:t>
      </w:r>
      <w:r w:rsidR="006D0D4B" w:rsidRPr="006D0D4B">
        <w:rPr>
          <w:rFonts w:cs="Times New Roman"/>
          <w:i/>
          <w:szCs w:val="16"/>
        </w:rPr>
        <w:t>infra</w:t>
      </w:r>
      <w:r w:rsidR="006D0D4B">
        <w:rPr>
          <w:rFonts w:cs="Times New Roman"/>
          <w:szCs w:val="16"/>
        </w:rPr>
        <w:t xml:space="preserve"> </w:t>
      </w:r>
      <w:r w:rsidR="006D0D4B">
        <w:rPr>
          <w:rFonts w:cs="Times New Roman"/>
          <w:szCs w:val="16"/>
        </w:rPr>
        <w:fldChar w:fldCharType="begin"/>
      </w:r>
      <w:r w:rsidR="006D0D4B">
        <w:rPr>
          <w:rFonts w:cs="Times New Roman"/>
          <w:szCs w:val="16"/>
        </w:rPr>
        <w:instrText xml:space="preserve"> PAGEREF _Ref533153885 \h </w:instrText>
      </w:r>
      <w:r w:rsidR="006D0D4B">
        <w:rPr>
          <w:rFonts w:cs="Times New Roman"/>
          <w:szCs w:val="16"/>
        </w:rPr>
      </w:r>
      <w:r w:rsidR="006D0D4B">
        <w:rPr>
          <w:rFonts w:cs="Times New Roman"/>
          <w:szCs w:val="16"/>
        </w:rPr>
        <w:fldChar w:fldCharType="separate"/>
      </w:r>
      <w:r w:rsidR="006D0D4B">
        <w:rPr>
          <w:rFonts w:cs="Times New Roman"/>
          <w:noProof/>
          <w:szCs w:val="16"/>
        </w:rPr>
        <w:t>12</w:t>
      </w:r>
      <w:r w:rsidR="006D0D4B">
        <w:rPr>
          <w:rFonts w:cs="Times New Roman"/>
          <w:szCs w:val="16"/>
        </w:rPr>
        <w:fldChar w:fldCharType="end"/>
      </w:r>
      <w:r w:rsidR="006D0D4B">
        <w:rPr>
          <w:rFonts w:cs="Times New Roman"/>
          <w:szCs w:val="16"/>
        </w:rPr>
        <w:t xml:space="preserve">, nr. </w:t>
      </w:r>
      <w:r w:rsidR="006D0D4B">
        <w:rPr>
          <w:rFonts w:cs="Times New Roman"/>
          <w:szCs w:val="16"/>
        </w:rPr>
        <w:fldChar w:fldCharType="begin"/>
      </w:r>
      <w:r w:rsidR="006D0D4B">
        <w:rPr>
          <w:rFonts w:cs="Times New Roman"/>
          <w:szCs w:val="16"/>
        </w:rPr>
        <w:instrText xml:space="preserve"> REF _Ref533153885 \r \h </w:instrText>
      </w:r>
      <w:r w:rsidR="006D0D4B">
        <w:rPr>
          <w:rFonts w:cs="Times New Roman"/>
          <w:szCs w:val="16"/>
        </w:rPr>
      </w:r>
      <w:r w:rsidR="006D0D4B">
        <w:rPr>
          <w:rFonts w:cs="Times New Roman"/>
          <w:szCs w:val="16"/>
        </w:rPr>
        <w:fldChar w:fldCharType="separate"/>
      </w:r>
      <w:r w:rsidR="006D0D4B">
        <w:rPr>
          <w:rFonts w:cs="Times New Roman"/>
          <w:szCs w:val="16"/>
        </w:rPr>
        <w:t>18</w:t>
      </w:r>
      <w:r w:rsidR="006D0D4B">
        <w:rPr>
          <w:rFonts w:cs="Times New Roman"/>
          <w:szCs w:val="16"/>
        </w:rPr>
        <w:fldChar w:fldCharType="end"/>
      </w:r>
      <w:r w:rsidR="006D0D4B">
        <w:rPr>
          <w:rFonts w:cs="Times New Roman"/>
          <w:szCs w:val="16"/>
        </w:rPr>
        <w:t>)</w:t>
      </w:r>
      <w:r w:rsidR="000D695A">
        <w:rPr>
          <w:rFonts w:cs="Times New Roman"/>
          <w:szCs w:val="16"/>
        </w:rPr>
        <w:t xml:space="preserve">. </w:t>
      </w:r>
      <w:r w:rsidR="004D41AA">
        <w:rPr>
          <w:rFonts w:cs="Times New Roman"/>
          <w:szCs w:val="16"/>
        </w:rPr>
        <w:t xml:space="preserve">Enkel </w:t>
      </w:r>
      <w:r w:rsidR="00F84C16">
        <w:rPr>
          <w:rFonts w:cs="Times New Roman"/>
          <w:szCs w:val="16"/>
        </w:rPr>
        <w:t>wanneer</w:t>
      </w:r>
      <w:r w:rsidR="000F17C0">
        <w:rPr>
          <w:rFonts w:cs="Times New Roman"/>
          <w:szCs w:val="16"/>
        </w:rPr>
        <w:t xml:space="preserve"> MiFIR en </w:t>
      </w:r>
      <w:r w:rsidR="006E6198">
        <w:rPr>
          <w:rFonts w:cs="Times New Roman"/>
          <w:szCs w:val="16"/>
        </w:rPr>
        <w:t>PRIIPS situaties van commercialise</w:t>
      </w:r>
      <w:r w:rsidR="000F17C0">
        <w:rPr>
          <w:rFonts w:cs="Times New Roman"/>
          <w:szCs w:val="16"/>
        </w:rPr>
        <w:t xml:space="preserve">ring voor </w:t>
      </w:r>
      <w:r w:rsidR="006E6198">
        <w:rPr>
          <w:rFonts w:cs="Times New Roman"/>
          <w:szCs w:val="16"/>
        </w:rPr>
        <w:t>de</w:t>
      </w:r>
      <w:r w:rsidR="00882805">
        <w:rPr>
          <w:rFonts w:cs="Times New Roman"/>
          <w:szCs w:val="16"/>
        </w:rPr>
        <w:t>ze</w:t>
      </w:r>
      <w:r w:rsidR="00F84C16">
        <w:rPr>
          <w:rFonts w:cs="Times New Roman"/>
          <w:szCs w:val="16"/>
        </w:rPr>
        <w:t xml:space="preserve"> data van</w:t>
      </w:r>
      <w:r w:rsidR="006E6198">
        <w:rPr>
          <w:rFonts w:cs="Times New Roman"/>
          <w:szCs w:val="16"/>
        </w:rPr>
        <w:t xml:space="preserve"> inwerkingtreding</w:t>
      </w:r>
      <w:r w:rsidR="000F17C0">
        <w:rPr>
          <w:rFonts w:cs="Times New Roman"/>
          <w:szCs w:val="16"/>
        </w:rPr>
        <w:t xml:space="preserve"> zou</w:t>
      </w:r>
      <w:r w:rsidR="006E6198">
        <w:rPr>
          <w:rFonts w:cs="Times New Roman"/>
          <w:szCs w:val="16"/>
        </w:rPr>
        <w:t>den</w:t>
      </w:r>
      <w:r w:rsidR="000F17C0">
        <w:rPr>
          <w:rFonts w:cs="Times New Roman"/>
          <w:szCs w:val="16"/>
        </w:rPr>
        <w:t xml:space="preserve"> onttrekken aan </w:t>
      </w:r>
      <w:r w:rsidR="006E6198">
        <w:rPr>
          <w:rFonts w:cs="Times New Roman"/>
          <w:szCs w:val="16"/>
        </w:rPr>
        <w:t>de</w:t>
      </w:r>
      <w:r w:rsidR="000F17C0">
        <w:rPr>
          <w:rFonts w:cs="Times New Roman"/>
          <w:szCs w:val="16"/>
        </w:rPr>
        <w:t xml:space="preserve"> door de reglementen ingestelde</w:t>
      </w:r>
      <w:r w:rsidR="006E6198">
        <w:rPr>
          <w:rFonts w:cs="Times New Roman"/>
          <w:szCs w:val="16"/>
        </w:rPr>
        <w:t xml:space="preserve"> beperkingen</w:t>
      </w:r>
      <w:r w:rsidR="000F17C0">
        <w:rPr>
          <w:rFonts w:cs="Times New Roman"/>
          <w:szCs w:val="16"/>
        </w:rPr>
        <w:t xml:space="preserve"> </w:t>
      </w:r>
      <w:r w:rsidR="006E6198">
        <w:rPr>
          <w:rFonts w:cs="Times New Roman"/>
          <w:szCs w:val="16"/>
        </w:rPr>
        <w:t>zouden zij retroactief werken</w:t>
      </w:r>
      <w:r w:rsidR="006A31F4">
        <w:rPr>
          <w:rFonts w:cs="Times New Roman"/>
          <w:szCs w:val="16"/>
        </w:rPr>
        <w:t>.</w:t>
      </w:r>
      <w:r w:rsidR="00F84C16">
        <w:rPr>
          <w:rFonts w:cs="Times New Roman"/>
          <w:szCs w:val="16"/>
        </w:rPr>
        <w:t xml:space="preserve"> </w:t>
      </w:r>
      <w:r w:rsidR="004D41AA">
        <w:rPr>
          <w:rFonts w:cs="Times New Roman"/>
          <w:szCs w:val="16"/>
        </w:rPr>
        <w:t>Het standpunt</w:t>
      </w:r>
      <w:r w:rsidR="001A7539">
        <w:rPr>
          <w:rFonts w:cs="Times New Roman"/>
          <w:szCs w:val="16"/>
        </w:rPr>
        <w:t xml:space="preserve"> van </w:t>
      </w:r>
      <w:r w:rsidR="00706752">
        <w:rPr>
          <w:rFonts w:cs="Times New Roman"/>
          <w:szCs w:val="16"/>
        </w:rPr>
        <w:t>de</w:t>
      </w:r>
      <w:r w:rsidR="001A7539">
        <w:rPr>
          <w:rFonts w:cs="Times New Roman"/>
          <w:szCs w:val="16"/>
        </w:rPr>
        <w:t xml:space="preserve"> SMSG en CO</w:t>
      </w:r>
      <w:r w:rsidR="0007006A">
        <w:rPr>
          <w:rFonts w:cs="Times New Roman"/>
          <w:szCs w:val="16"/>
        </w:rPr>
        <w:softHyphen/>
      </w:r>
      <w:r w:rsidR="001A7539">
        <w:rPr>
          <w:rFonts w:cs="Times New Roman"/>
          <w:szCs w:val="16"/>
        </w:rPr>
        <w:t xml:space="preserve">LAERT verdient </w:t>
      </w:r>
      <w:r w:rsidR="00882805">
        <w:rPr>
          <w:rFonts w:cs="Times New Roman"/>
          <w:szCs w:val="16"/>
        </w:rPr>
        <w:t>met andere woorden</w:t>
      </w:r>
      <w:r w:rsidR="00FB2A71">
        <w:rPr>
          <w:rFonts w:cs="Times New Roman"/>
          <w:szCs w:val="16"/>
        </w:rPr>
        <w:t xml:space="preserve"> </w:t>
      </w:r>
      <w:r w:rsidR="001A7539">
        <w:rPr>
          <w:rFonts w:cs="Times New Roman"/>
          <w:szCs w:val="16"/>
        </w:rPr>
        <w:t xml:space="preserve">de voorkeur: de </w:t>
      </w:r>
      <w:r w:rsidR="00D07522">
        <w:rPr>
          <w:rFonts w:cs="Times New Roman"/>
          <w:szCs w:val="16"/>
        </w:rPr>
        <w:t>FSMA-reglementen</w:t>
      </w:r>
      <w:r w:rsidR="001A7539">
        <w:rPr>
          <w:rFonts w:cs="Times New Roman"/>
          <w:szCs w:val="16"/>
        </w:rPr>
        <w:t xml:space="preserve"> kunnen enkel verder bestaan </w:t>
      </w:r>
      <w:r w:rsidR="00FB2A71">
        <w:rPr>
          <w:rFonts w:cs="Times New Roman"/>
          <w:szCs w:val="16"/>
        </w:rPr>
        <w:t>voor zover</w:t>
      </w:r>
      <w:r w:rsidR="001A7539">
        <w:rPr>
          <w:rFonts w:cs="Times New Roman"/>
          <w:szCs w:val="16"/>
        </w:rPr>
        <w:t xml:space="preserve"> </w:t>
      </w:r>
      <w:r w:rsidR="001E2183">
        <w:rPr>
          <w:rFonts w:cs="Times New Roman"/>
          <w:szCs w:val="16"/>
        </w:rPr>
        <w:t>ze</w:t>
      </w:r>
      <w:r w:rsidR="001A7539">
        <w:rPr>
          <w:rFonts w:cs="Times New Roman"/>
          <w:szCs w:val="16"/>
        </w:rPr>
        <w:t xml:space="preserve"> </w:t>
      </w:r>
      <w:r w:rsidR="00706752">
        <w:rPr>
          <w:rFonts w:cs="Times New Roman"/>
          <w:szCs w:val="16"/>
        </w:rPr>
        <w:t xml:space="preserve">succesvol </w:t>
      </w:r>
      <w:r w:rsidR="00FB2A71">
        <w:rPr>
          <w:rFonts w:cs="Times New Roman"/>
          <w:szCs w:val="16"/>
        </w:rPr>
        <w:t xml:space="preserve">kunnen </w:t>
      </w:r>
      <w:r w:rsidR="001A7539">
        <w:rPr>
          <w:rFonts w:cs="Times New Roman"/>
          <w:szCs w:val="16"/>
        </w:rPr>
        <w:t>worden afgetoetst aan de nieuwe inhoudelijke en formele voorwaarden van de geharmoni</w:t>
      </w:r>
      <w:r w:rsidR="0007006A">
        <w:rPr>
          <w:rFonts w:cs="Times New Roman"/>
          <w:szCs w:val="16"/>
        </w:rPr>
        <w:softHyphen/>
      </w:r>
      <w:r w:rsidR="001A7539">
        <w:rPr>
          <w:rFonts w:cs="Times New Roman"/>
          <w:szCs w:val="16"/>
        </w:rPr>
        <w:t>seerde regimes.</w:t>
      </w:r>
      <w:bookmarkEnd w:id="13"/>
    </w:p>
    <w:p w:rsidR="00871338" w:rsidRPr="006E6198" w:rsidRDefault="005F46B1" w:rsidP="006E6198">
      <w:pPr>
        <w:pStyle w:val="Lijstalinea"/>
        <w:numPr>
          <w:ilvl w:val="0"/>
          <w:numId w:val="3"/>
        </w:numPr>
        <w:spacing w:line="276" w:lineRule="auto"/>
        <w:rPr>
          <w:rFonts w:cs="Times New Roman"/>
          <w:szCs w:val="20"/>
        </w:rPr>
      </w:pPr>
      <w:bookmarkStart w:id="14" w:name="_Ref533153885"/>
      <w:r>
        <w:rPr>
          <w:rFonts w:cs="Times New Roman"/>
          <w:i/>
          <w:szCs w:val="16"/>
        </w:rPr>
        <w:t>B</w:t>
      </w:r>
      <w:r w:rsidRPr="005F46B1">
        <w:rPr>
          <w:rFonts w:cs="Times New Roman"/>
          <w:i/>
          <w:szCs w:val="16"/>
        </w:rPr>
        <w:t>eleggersbescherming</w:t>
      </w:r>
      <w:r w:rsidR="00522B88">
        <w:rPr>
          <w:rFonts w:cs="Times New Roman"/>
          <w:i/>
          <w:szCs w:val="16"/>
        </w:rPr>
        <w:t>?</w:t>
      </w:r>
      <w:r w:rsidR="00F84C16" w:rsidRPr="00522B88">
        <w:rPr>
          <w:rFonts w:cs="Times New Roman"/>
          <w:szCs w:val="16"/>
        </w:rPr>
        <w:t xml:space="preserve"> </w:t>
      </w:r>
      <w:r w:rsidRPr="00522B88">
        <w:rPr>
          <w:rFonts w:cs="Times New Roman"/>
          <w:szCs w:val="20"/>
        </w:rPr>
        <w:t>‒</w:t>
      </w:r>
      <w:r>
        <w:rPr>
          <w:rFonts w:cs="Times New Roman"/>
          <w:szCs w:val="16"/>
        </w:rPr>
        <w:t xml:space="preserve"> </w:t>
      </w:r>
      <w:r w:rsidR="00706752" w:rsidRPr="006E6198">
        <w:rPr>
          <w:rFonts w:cs="Times New Roman"/>
          <w:szCs w:val="16"/>
        </w:rPr>
        <w:t xml:space="preserve">Indien een </w:t>
      </w:r>
      <w:r w:rsidR="00FB2A71" w:rsidRPr="006E6198">
        <w:rPr>
          <w:rFonts w:cs="Times New Roman"/>
          <w:szCs w:val="16"/>
        </w:rPr>
        <w:t>bestaand</w:t>
      </w:r>
      <w:r w:rsidR="00706752" w:rsidRPr="006E6198">
        <w:rPr>
          <w:rFonts w:cs="Times New Roman"/>
          <w:szCs w:val="16"/>
        </w:rPr>
        <w:t xml:space="preserve"> reglement </w:t>
      </w:r>
      <w:r w:rsidR="006A31F4">
        <w:rPr>
          <w:rFonts w:cs="Times New Roman"/>
          <w:szCs w:val="16"/>
        </w:rPr>
        <w:t xml:space="preserve">weliswaar </w:t>
      </w:r>
      <w:r w:rsidR="00706752" w:rsidRPr="006E6198">
        <w:rPr>
          <w:rFonts w:cs="Times New Roman"/>
          <w:szCs w:val="16"/>
        </w:rPr>
        <w:t>succesvol k</w:t>
      </w:r>
      <w:r w:rsidR="00C72B82" w:rsidRPr="006E6198">
        <w:rPr>
          <w:rFonts w:cs="Times New Roman"/>
          <w:szCs w:val="16"/>
        </w:rPr>
        <w:t>a</w:t>
      </w:r>
      <w:r w:rsidR="001E2183" w:rsidRPr="006E6198">
        <w:rPr>
          <w:rFonts w:cs="Times New Roman"/>
          <w:szCs w:val="16"/>
        </w:rPr>
        <w:t>n worden overgenomen</w:t>
      </w:r>
      <w:r w:rsidR="00706752" w:rsidRPr="006E6198">
        <w:rPr>
          <w:rFonts w:cs="Times New Roman"/>
          <w:szCs w:val="16"/>
        </w:rPr>
        <w:t xml:space="preserve"> </w:t>
      </w:r>
      <w:r w:rsidR="001E2183" w:rsidRPr="006E6198">
        <w:rPr>
          <w:rFonts w:cs="Times New Roman"/>
          <w:szCs w:val="16"/>
        </w:rPr>
        <w:t>bin</w:t>
      </w:r>
      <w:r w:rsidR="0007006A">
        <w:rPr>
          <w:rFonts w:cs="Times New Roman"/>
          <w:szCs w:val="16"/>
        </w:rPr>
        <w:softHyphen/>
      </w:r>
      <w:r w:rsidR="001E2183" w:rsidRPr="006E6198">
        <w:rPr>
          <w:rFonts w:cs="Times New Roman"/>
          <w:szCs w:val="16"/>
        </w:rPr>
        <w:t>nen</w:t>
      </w:r>
      <w:r w:rsidR="00706752" w:rsidRPr="006E6198">
        <w:rPr>
          <w:rFonts w:cs="Times New Roman"/>
          <w:szCs w:val="16"/>
        </w:rPr>
        <w:t xml:space="preserve"> het nieuwe regime</w:t>
      </w:r>
      <w:r w:rsidR="00C72B82" w:rsidRPr="006E6198">
        <w:rPr>
          <w:rFonts w:cs="Times New Roman"/>
          <w:szCs w:val="16"/>
        </w:rPr>
        <w:t xml:space="preserve"> (‘</w:t>
      </w:r>
      <w:r w:rsidR="00C72B82" w:rsidRPr="006E6198">
        <w:rPr>
          <w:rFonts w:cs="Times New Roman"/>
          <w:i/>
          <w:szCs w:val="16"/>
        </w:rPr>
        <w:t>grandfathering</w:t>
      </w:r>
      <w:r w:rsidR="00C72B82" w:rsidRPr="006E6198">
        <w:rPr>
          <w:rFonts w:cs="Times New Roman"/>
          <w:szCs w:val="16"/>
        </w:rPr>
        <w:t>’)</w:t>
      </w:r>
      <w:r w:rsidR="00706752" w:rsidRPr="006E6198">
        <w:rPr>
          <w:rFonts w:cs="Times New Roman"/>
          <w:szCs w:val="16"/>
        </w:rPr>
        <w:t xml:space="preserve">, rest </w:t>
      </w:r>
      <w:r w:rsidR="001E2183" w:rsidRPr="006E6198">
        <w:rPr>
          <w:rFonts w:cs="Times New Roman"/>
          <w:szCs w:val="16"/>
        </w:rPr>
        <w:t xml:space="preserve">nadien </w:t>
      </w:r>
      <w:r w:rsidR="00FB2A71" w:rsidRPr="006E6198">
        <w:rPr>
          <w:rFonts w:cs="Times New Roman"/>
          <w:szCs w:val="16"/>
        </w:rPr>
        <w:t xml:space="preserve">nog </w:t>
      </w:r>
      <w:r w:rsidR="00706752" w:rsidRPr="006E6198">
        <w:rPr>
          <w:rFonts w:cs="Times New Roman"/>
          <w:szCs w:val="16"/>
        </w:rPr>
        <w:t>de tweede vraag wat moet gebeuren eens een ESA</w:t>
      </w:r>
      <w:r w:rsidR="00C72B82" w:rsidRPr="006E6198">
        <w:rPr>
          <w:rFonts w:cs="Times New Roman"/>
          <w:szCs w:val="16"/>
        </w:rPr>
        <w:t xml:space="preserve"> (bijvoorbeeld</w:t>
      </w:r>
      <w:r w:rsidR="00280B8B">
        <w:rPr>
          <w:rFonts w:cs="Times New Roman"/>
          <w:szCs w:val="16"/>
        </w:rPr>
        <w:t xml:space="preserve"> de</w:t>
      </w:r>
      <w:r w:rsidR="00C72B82" w:rsidRPr="006E6198">
        <w:rPr>
          <w:rFonts w:cs="Times New Roman"/>
          <w:szCs w:val="16"/>
        </w:rPr>
        <w:t xml:space="preserve"> ESMA)</w:t>
      </w:r>
      <w:r w:rsidR="00706752" w:rsidRPr="006E6198">
        <w:rPr>
          <w:rFonts w:cs="Times New Roman"/>
          <w:szCs w:val="16"/>
        </w:rPr>
        <w:t xml:space="preserve"> een besluit neemt. </w:t>
      </w:r>
      <w:r w:rsidR="001E2183" w:rsidRPr="006E6198">
        <w:rPr>
          <w:rFonts w:cs="Times New Roman"/>
          <w:szCs w:val="16"/>
        </w:rPr>
        <w:t>Ter herhaling, SERVAIS was van mening dat de bestaande reglemen</w:t>
      </w:r>
      <w:r w:rsidR="0007006A">
        <w:rPr>
          <w:rFonts w:cs="Times New Roman"/>
          <w:szCs w:val="16"/>
        </w:rPr>
        <w:softHyphen/>
      </w:r>
      <w:r w:rsidR="001E2183" w:rsidRPr="006E6198">
        <w:rPr>
          <w:rFonts w:cs="Times New Roman"/>
          <w:szCs w:val="16"/>
        </w:rPr>
        <w:t>ten kunnen blijven gelden zelfs gedurende de looptijd van een ESA-besluit dat betrekking heeft op hetzelfde fi</w:t>
      </w:r>
      <w:r w:rsidR="0007006A">
        <w:rPr>
          <w:rFonts w:cs="Times New Roman"/>
          <w:szCs w:val="16"/>
        </w:rPr>
        <w:softHyphen/>
      </w:r>
      <w:r w:rsidR="001E2183" w:rsidRPr="006E6198">
        <w:rPr>
          <w:rFonts w:cs="Times New Roman"/>
          <w:szCs w:val="16"/>
        </w:rPr>
        <w:t>nancieel product</w:t>
      </w:r>
      <w:r w:rsidR="00706752" w:rsidRPr="006E6198">
        <w:rPr>
          <w:rFonts w:cs="Times New Roman"/>
          <w:szCs w:val="16"/>
        </w:rPr>
        <w:t>.</w:t>
      </w:r>
      <w:r w:rsidR="001E2183" w:rsidRPr="006E6198">
        <w:rPr>
          <w:rFonts w:cs="Times New Roman"/>
          <w:szCs w:val="16"/>
        </w:rPr>
        <w:t xml:space="preserve"> Dit </w:t>
      </w:r>
      <w:r w:rsidR="00D07522" w:rsidRPr="006E6198">
        <w:rPr>
          <w:rFonts w:cs="Times New Roman"/>
          <w:szCs w:val="16"/>
        </w:rPr>
        <w:t>is</w:t>
      </w:r>
      <w:r w:rsidR="001E2183" w:rsidRPr="006E6198">
        <w:rPr>
          <w:rFonts w:cs="Times New Roman"/>
          <w:szCs w:val="16"/>
        </w:rPr>
        <w:t xml:space="preserve"> volgens hem </w:t>
      </w:r>
      <w:r w:rsidR="00D07522" w:rsidRPr="006E6198">
        <w:rPr>
          <w:rFonts w:cs="Times New Roman"/>
          <w:szCs w:val="16"/>
        </w:rPr>
        <w:t>in overeenstemming met</w:t>
      </w:r>
      <w:r w:rsidR="001E2183" w:rsidRPr="006E6198">
        <w:rPr>
          <w:rFonts w:cs="Times New Roman"/>
          <w:szCs w:val="16"/>
        </w:rPr>
        <w:t xml:space="preserve"> de doelstelling van MiFIR om beleggers te bescher</w:t>
      </w:r>
      <w:r w:rsidR="0007006A">
        <w:rPr>
          <w:rFonts w:cs="Times New Roman"/>
          <w:szCs w:val="16"/>
        </w:rPr>
        <w:softHyphen/>
      </w:r>
      <w:r w:rsidR="001E2183" w:rsidRPr="006E6198">
        <w:rPr>
          <w:rFonts w:cs="Times New Roman"/>
          <w:szCs w:val="16"/>
        </w:rPr>
        <w:t>men.</w:t>
      </w:r>
      <w:r w:rsidR="00706752" w:rsidRPr="006E6198">
        <w:rPr>
          <w:rFonts w:cs="Times New Roman"/>
          <w:szCs w:val="16"/>
        </w:rPr>
        <w:t xml:space="preserve"> </w:t>
      </w:r>
      <w:r w:rsidR="001E2183" w:rsidRPr="006E6198">
        <w:rPr>
          <w:rFonts w:cs="Times New Roman"/>
          <w:szCs w:val="16"/>
        </w:rPr>
        <w:t xml:space="preserve">Deze opvatting is evenmin juist. </w:t>
      </w:r>
      <w:r w:rsidR="004C71FC" w:rsidRPr="006E6198">
        <w:rPr>
          <w:rFonts w:cs="Times New Roman"/>
          <w:szCs w:val="20"/>
        </w:rPr>
        <w:t>Ten eerste, s</w:t>
      </w:r>
      <w:r w:rsidR="00D363DC" w:rsidRPr="006E6198">
        <w:rPr>
          <w:rFonts w:cs="Times New Roman"/>
          <w:szCs w:val="20"/>
        </w:rPr>
        <w:t xml:space="preserve">trengere productinterventies zullen niet noodzakelijk </w:t>
      </w:r>
      <w:r w:rsidR="00D61411" w:rsidRPr="006E6198">
        <w:rPr>
          <w:rFonts w:cs="Times New Roman"/>
          <w:szCs w:val="20"/>
        </w:rPr>
        <w:t xml:space="preserve">steeds </w:t>
      </w:r>
      <w:r w:rsidR="00D363DC" w:rsidRPr="006E6198">
        <w:rPr>
          <w:rFonts w:cs="Times New Roman"/>
          <w:szCs w:val="20"/>
        </w:rPr>
        <w:t xml:space="preserve">méér beleggersbescherming tot stand brengen. </w:t>
      </w:r>
      <w:r w:rsidR="00342632" w:rsidRPr="006E6198">
        <w:rPr>
          <w:rFonts w:cs="Times New Roman"/>
          <w:szCs w:val="20"/>
        </w:rPr>
        <w:t xml:space="preserve">Dit blijkt </w:t>
      </w:r>
      <w:r w:rsidR="00D54B88" w:rsidRPr="006E6198">
        <w:rPr>
          <w:rFonts w:cs="Times New Roman"/>
          <w:szCs w:val="20"/>
        </w:rPr>
        <w:t xml:space="preserve">bijvoorbeeld </w:t>
      </w:r>
      <w:r w:rsidR="00342632" w:rsidRPr="006E6198">
        <w:rPr>
          <w:rFonts w:cs="Times New Roman"/>
          <w:szCs w:val="20"/>
        </w:rPr>
        <w:t>uit de voorbereiding van het CFD-besluit.</w:t>
      </w:r>
      <w:r w:rsidR="00D363DC" w:rsidRPr="006E6198">
        <w:rPr>
          <w:rFonts w:cs="Times New Roman"/>
          <w:szCs w:val="20"/>
        </w:rPr>
        <w:t xml:space="preserve"> </w:t>
      </w:r>
      <w:r w:rsidR="008437FF" w:rsidRPr="006E6198">
        <w:rPr>
          <w:rFonts w:cs="Times New Roman"/>
          <w:szCs w:val="20"/>
        </w:rPr>
        <w:t xml:space="preserve">De </w:t>
      </w:r>
      <w:r w:rsidR="00D363DC" w:rsidRPr="006E6198">
        <w:rPr>
          <w:rFonts w:cs="Times New Roman"/>
          <w:szCs w:val="20"/>
        </w:rPr>
        <w:t>ESMA</w:t>
      </w:r>
      <w:r w:rsidR="00342632" w:rsidRPr="006E6198">
        <w:rPr>
          <w:rFonts w:cs="Times New Roman"/>
          <w:szCs w:val="20"/>
        </w:rPr>
        <w:t xml:space="preserve"> heeft toen</w:t>
      </w:r>
      <w:r w:rsidR="00D363DC" w:rsidRPr="006E6198">
        <w:rPr>
          <w:rFonts w:cs="Times New Roman"/>
          <w:szCs w:val="20"/>
        </w:rPr>
        <w:t xml:space="preserve"> een </w:t>
      </w:r>
      <w:r w:rsidR="00D363DC" w:rsidRPr="006E6198">
        <w:rPr>
          <w:rFonts w:cs="Times New Roman"/>
          <w:i/>
          <w:szCs w:val="20"/>
        </w:rPr>
        <w:t>product ban</w:t>
      </w:r>
      <w:r w:rsidR="00D363DC" w:rsidRPr="006E6198">
        <w:rPr>
          <w:rFonts w:cs="Times New Roman"/>
          <w:szCs w:val="20"/>
        </w:rPr>
        <w:t xml:space="preserve"> </w:t>
      </w:r>
      <w:r w:rsidR="00342632" w:rsidRPr="006E6198">
        <w:rPr>
          <w:rFonts w:cs="Times New Roman"/>
          <w:szCs w:val="20"/>
        </w:rPr>
        <w:t xml:space="preserve">van alle CFD’s </w:t>
      </w:r>
      <w:r w:rsidR="00D363DC" w:rsidRPr="006E6198">
        <w:rPr>
          <w:rFonts w:cs="Times New Roman"/>
          <w:szCs w:val="20"/>
        </w:rPr>
        <w:t>overwogen, maar dit bleek disproportioneel omdat niet alle soorten CFD’s aanleiding gaven tot een significante bezorgdheid voor de beleggersbescherming.</w:t>
      </w:r>
      <w:r w:rsidR="002F6758" w:rsidRPr="006E6198">
        <w:rPr>
          <w:rFonts w:cs="Times New Roman"/>
          <w:szCs w:val="20"/>
        </w:rPr>
        <w:t xml:space="preserve"> Beleggers die winst </w:t>
      </w:r>
      <w:r w:rsidR="00840A44" w:rsidRPr="006E6198">
        <w:rPr>
          <w:rFonts w:cs="Times New Roman"/>
          <w:szCs w:val="20"/>
        </w:rPr>
        <w:t>haalden</w:t>
      </w:r>
      <w:r w:rsidR="002F6758" w:rsidRPr="006E6198">
        <w:rPr>
          <w:rFonts w:cs="Times New Roman"/>
          <w:szCs w:val="20"/>
        </w:rPr>
        <w:t xml:space="preserve"> uit </w:t>
      </w:r>
      <w:r w:rsidR="00D54B88" w:rsidRPr="006E6198">
        <w:rPr>
          <w:rFonts w:cs="Times New Roman"/>
          <w:szCs w:val="20"/>
        </w:rPr>
        <w:t>bepaalde,</w:t>
      </w:r>
      <w:r w:rsidR="00840A44" w:rsidRPr="006E6198">
        <w:rPr>
          <w:rFonts w:cs="Times New Roman"/>
          <w:szCs w:val="20"/>
        </w:rPr>
        <w:t xml:space="preserve"> veilige</w:t>
      </w:r>
      <w:r w:rsidR="002F6758" w:rsidRPr="006E6198">
        <w:rPr>
          <w:rFonts w:cs="Times New Roman"/>
          <w:szCs w:val="20"/>
        </w:rPr>
        <w:t xml:space="preserve"> CFD’s zouden juist zelfs verliezen lijden.</w:t>
      </w:r>
      <w:r w:rsidR="00F440F3">
        <w:rPr>
          <w:rStyle w:val="Voetnootmarkering"/>
          <w:rFonts w:cs="Times New Roman"/>
          <w:szCs w:val="20"/>
        </w:rPr>
        <w:footnoteReference w:id="78"/>
      </w:r>
      <w:r w:rsidR="00F440F3" w:rsidRPr="006E6198">
        <w:rPr>
          <w:rFonts w:cs="Times New Roman"/>
          <w:szCs w:val="20"/>
        </w:rPr>
        <w:t xml:space="preserve"> </w:t>
      </w:r>
      <w:r w:rsidR="00840A44" w:rsidRPr="006E6198">
        <w:rPr>
          <w:rFonts w:cs="Times New Roman"/>
          <w:szCs w:val="20"/>
        </w:rPr>
        <w:t>De proportionaliteitsvoorwaarde in het MiFIR-regime vereist dan ook dat financiële toezichthouders bij het nemen van een maatregel rekening houden met</w:t>
      </w:r>
      <w:r w:rsidR="001F2FF0" w:rsidRPr="006E6198">
        <w:rPr>
          <w:rFonts w:cs="Times New Roman"/>
          <w:szCs w:val="20"/>
        </w:rPr>
        <w:t xml:space="preserve"> de verhouding van de voordelen tot</w:t>
      </w:r>
      <w:r w:rsidR="00840A44" w:rsidRPr="006E6198">
        <w:rPr>
          <w:rFonts w:cs="Times New Roman"/>
          <w:szCs w:val="20"/>
        </w:rPr>
        <w:t xml:space="preserve"> de mogelijke nadelen voor zowel de efficiëntie van de financiële markten als de beleggers zelf.</w:t>
      </w:r>
      <w:r w:rsidR="00840A44">
        <w:rPr>
          <w:rStyle w:val="Voetnootmarkering"/>
          <w:rFonts w:cs="Times New Roman"/>
          <w:szCs w:val="20"/>
        </w:rPr>
        <w:footnoteReference w:id="79"/>
      </w:r>
      <w:r w:rsidR="00840A44" w:rsidRPr="006E6198">
        <w:rPr>
          <w:rFonts w:cs="Times New Roman"/>
          <w:szCs w:val="20"/>
        </w:rPr>
        <w:t xml:space="preserve"> </w:t>
      </w:r>
      <w:r w:rsidR="001F2FF0" w:rsidRPr="006E6198">
        <w:rPr>
          <w:rFonts w:cs="Times New Roman"/>
          <w:szCs w:val="20"/>
        </w:rPr>
        <w:t>Een productinterventiemaatregel kan met andere woorden</w:t>
      </w:r>
      <w:r w:rsidR="004C71FC" w:rsidRPr="006E6198">
        <w:rPr>
          <w:rFonts w:cs="Times New Roman"/>
          <w:szCs w:val="20"/>
        </w:rPr>
        <w:t xml:space="preserve"> enerzijds</w:t>
      </w:r>
      <w:r w:rsidR="001F2FF0" w:rsidRPr="006E6198">
        <w:rPr>
          <w:rFonts w:cs="Times New Roman"/>
          <w:szCs w:val="20"/>
        </w:rPr>
        <w:t xml:space="preserve"> strenger zijn doordat </w:t>
      </w:r>
      <w:r w:rsidR="004C71FC" w:rsidRPr="006E6198">
        <w:rPr>
          <w:rFonts w:cs="Times New Roman"/>
          <w:szCs w:val="20"/>
        </w:rPr>
        <w:lastRenderedPageBreak/>
        <w:t>ze</w:t>
      </w:r>
      <w:r w:rsidR="001F2FF0" w:rsidRPr="006E6198">
        <w:rPr>
          <w:rFonts w:cs="Times New Roman"/>
          <w:szCs w:val="20"/>
        </w:rPr>
        <w:t xml:space="preserve"> meer beperkingen inhoudt voor de beschikbaarheid van financiële producten</w:t>
      </w:r>
      <w:r w:rsidR="004C71FC" w:rsidRPr="006E6198">
        <w:rPr>
          <w:rFonts w:cs="Times New Roman"/>
          <w:szCs w:val="20"/>
        </w:rPr>
        <w:t xml:space="preserve"> op de markt</w:t>
      </w:r>
      <w:r w:rsidR="001F2FF0" w:rsidRPr="006E6198">
        <w:rPr>
          <w:rFonts w:cs="Times New Roman"/>
          <w:szCs w:val="20"/>
        </w:rPr>
        <w:t>,</w:t>
      </w:r>
      <w:r w:rsidR="00871338" w:rsidRPr="006E6198">
        <w:rPr>
          <w:rFonts w:cs="Times New Roman"/>
          <w:szCs w:val="20"/>
        </w:rPr>
        <w:t xml:space="preserve"> maar</w:t>
      </w:r>
      <w:r w:rsidR="001F2FF0" w:rsidRPr="006E6198">
        <w:rPr>
          <w:rFonts w:cs="Times New Roman"/>
          <w:szCs w:val="20"/>
        </w:rPr>
        <w:t xml:space="preserve"> </w:t>
      </w:r>
      <w:r w:rsidR="004C71FC" w:rsidRPr="006E6198">
        <w:rPr>
          <w:rFonts w:cs="Times New Roman"/>
          <w:szCs w:val="20"/>
        </w:rPr>
        <w:t>anderzijds geen hoger niveau van</w:t>
      </w:r>
      <w:r w:rsidR="00871338" w:rsidRPr="006E6198">
        <w:rPr>
          <w:rFonts w:cs="Times New Roman"/>
          <w:szCs w:val="20"/>
        </w:rPr>
        <w:t xml:space="preserve"> beleg</w:t>
      </w:r>
      <w:r w:rsidR="004C71FC" w:rsidRPr="006E6198">
        <w:rPr>
          <w:rFonts w:cs="Times New Roman"/>
          <w:szCs w:val="20"/>
        </w:rPr>
        <w:t>gersbescherming tot stand brengen</w:t>
      </w:r>
      <w:r w:rsidR="00504BCB" w:rsidRPr="006E6198">
        <w:rPr>
          <w:rFonts w:cs="Times New Roman"/>
          <w:szCs w:val="20"/>
        </w:rPr>
        <w:t xml:space="preserve">. </w:t>
      </w:r>
      <w:r w:rsidR="004C71FC" w:rsidRPr="006E6198">
        <w:rPr>
          <w:rFonts w:cs="Times New Roman"/>
          <w:szCs w:val="20"/>
        </w:rPr>
        <w:t>Ten tweede bestaan ook nog andere doelstelling</w:t>
      </w:r>
      <w:r w:rsidR="00D34041">
        <w:rPr>
          <w:rFonts w:cs="Times New Roman"/>
          <w:szCs w:val="20"/>
        </w:rPr>
        <w:t>en</w:t>
      </w:r>
      <w:r w:rsidR="004C71FC" w:rsidRPr="006E6198">
        <w:rPr>
          <w:rFonts w:cs="Times New Roman"/>
          <w:szCs w:val="20"/>
        </w:rPr>
        <w:t xml:space="preserve"> </w:t>
      </w:r>
      <w:r w:rsidR="005A2B62" w:rsidRPr="006E6198">
        <w:rPr>
          <w:rFonts w:cs="Times New Roman"/>
          <w:szCs w:val="20"/>
        </w:rPr>
        <w:t>waarmee financiële toezichthouders rekening moeten houden</w:t>
      </w:r>
      <w:r w:rsidR="00E17C00" w:rsidRPr="006E6198">
        <w:rPr>
          <w:rFonts w:cs="Times New Roman"/>
          <w:szCs w:val="20"/>
        </w:rPr>
        <w:t>.</w:t>
      </w:r>
      <w:r w:rsidR="00F440F3" w:rsidRPr="006E6198">
        <w:rPr>
          <w:rFonts w:cs="Times New Roman"/>
          <w:szCs w:val="20"/>
        </w:rPr>
        <w:t xml:space="preserve"> Algemeen gezien had </w:t>
      </w:r>
      <w:r w:rsidR="005A2B62" w:rsidRPr="006E6198">
        <w:rPr>
          <w:rFonts w:cs="Times New Roman"/>
          <w:szCs w:val="20"/>
        </w:rPr>
        <w:t>MiFIR</w:t>
      </w:r>
      <w:r w:rsidR="00F440F3" w:rsidRPr="006E6198">
        <w:rPr>
          <w:rFonts w:cs="Times New Roman"/>
          <w:szCs w:val="20"/>
        </w:rPr>
        <w:t xml:space="preserve"> tot doel om de voor</w:t>
      </w:r>
      <w:r w:rsidR="0007006A">
        <w:rPr>
          <w:rFonts w:cs="Times New Roman"/>
          <w:szCs w:val="20"/>
        </w:rPr>
        <w:softHyphen/>
      </w:r>
      <w:r w:rsidR="00F440F3" w:rsidRPr="006E6198">
        <w:rPr>
          <w:rFonts w:cs="Times New Roman"/>
          <w:szCs w:val="20"/>
        </w:rPr>
        <w:t>dien divergerende toezichtspraktijken te verhinderen en convergentie tot stand te brengen</w:t>
      </w:r>
      <w:r w:rsidR="002F6758" w:rsidRPr="006E6198">
        <w:rPr>
          <w:rFonts w:cs="Times New Roman"/>
          <w:szCs w:val="20"/>
        </w:rPr>
        <w:t>.</w:t>
      </w:r>
      <w:r w:rsidR="000B7673">
        <w:rPr>
          <w:rStyle w:val="Voetnootmarkering"/>
          <w:rFonts w:cs="Times New Roman"/>
          <w:szCs w:val="20"/>
        </w:rPr>
        <w:footnoteReference w:id="80"/>
      </w:r>
      <w:r w:rsidR="00B03422" w:rsidRPr="006E6198">
        <w:rPr>
          <w:rFonts w:cs="Times New Roman"/>
          <w:szCs w:val="20"/>
        </w:rPr>
        <w:t xml:space="preserve"> D</w:t>
      </w:r>
      <w:r w:rsidR="00126F5E" w:rsidRPr="006E6198">
        <w:rPr>
          <w:rFonts w:cs="Times New Roman"/>
          <w:szCs w:val="20"/>
        </w:rPr>
        <w:t>e organieke veror</w:t>
      </w:r>
      <w:r w:rsidR="0007006A">
        <w:rPr>
          <w:rFonts w:cs="Times New Roman"/>
          <w:szCs w:val="20"/>
        </w:rPr>
        <w:softHyphen/>
      </w:r>
      <w:r w:rsidR="00126F5E" w:rsidRPr="006E6198">
        <w:rPr>
          <w:rFonts w:cs="Times New Roman"/>
          <w:szCs w:val="20"/>
        </w:rPr>
        <w:t>dening</w:t>
      </w:r>
      <w:r w:rsidR="00E27FE0" w:rsidRPr="006E6198">
        <w:rPr>
          <w:rFonts w:cs="Times New Roman"/>
          <w:szCs w:val="20"/>
        </w:rPr>
        <w:t xml:space="preserve"> tot oprichting van de ESMA, die de grondslag voor de productinterventie bevat</w:t>
      </w:r>
      <w:r w:rsidR="00745A90">
        <w:rPr>
          <w:rStyle w:val="Voetnootmarkering"/>
          <w:rFonts w:cs="Times New Roman"/>
          <w:szCs w:val="20"/>
        </w:rPr>
        <w:footnoteReference w:id="81"/>
      </w:r>
      <w:r w:rsidR="00E27FE0" w:rsidRPr="006E6198">
        <w:rPr>
          <w:rFonts w:cs="Times New Roman"/>
          <w:szCs w:val="20"/>
        </w:rPr>
        <w:t xml:space="preserve">, </w:t>
      </w:r>
      <w:r w:rsidR="00B03422" w:rsidRPr="006E6198">
        <w:rPr>
          <w:rFonts w:cs="Times New Roman"/>
          <w:szCs w:val="20"/>
        </w:rPr>
        <w:t xml:space="preserve">hecht </w:t>
      </w:r>
      <w:r w:rsidR="004C71FC" w:rsidRPr="006E6198">
        <w:rPr>
          <w:rFonts w:cs="Times New Roman"/>
          <w:szCs w:val="20"/>
        </w:rPr>
        <w:t>evenzeer</w:t>
      </w:r>
      <w:r w:rsidR="00871338" w:rsidRPr="006E6198">
        <w:rPr>
          <w:rFonts w:cs="Times New Roman"/>
          <w:szCs w:val="20"/>
        </w:rPr>
        <w:t xml:space="preserve"> </w:t>
      </w:r>
      <w:r w:rsidR="00B03422" w:rsidRPr="006E6198">
        <w:rPr>
          <w:rFonts w:cs="Times New Roman"/>
          <w:szCs w:val="20"/>
        </w:rPr>
        <w:t>belang aan</w:t>
      </w:r>
      <w:r w:rsidR="00E27FE0" w:rsidRPr="006E6198">
        <w:rPr>
          <w:rFonts w:cs="Times New Roman"/>
          <w:szCs w:val="20"/>
        </w:rPr>
        <w:t xml:space="preserve"> </w:t>
      </w:r>
      <w:r w:rsidR="00B03422" w:rsidRPr="006E6198">
        <w:rPr>
          <w:rFonts w:cs="Times New Roman"/>
          <w:szCs w:val="20"/>
        </w:rPr>
        <w:t xml:space="preserve">daarmee overeenstemmende </w:t>
      </w:r>
      <w:r w:rsidR="00E27FE0" w:rsidRPr="006E6198">
        <w:rPr>
          <w:rFonts w:cs="Times New Roman"/>
          <w:szCs w:val="20"/>
        </w:rPr>
        <w:t>doelstellingen zoals een “</w:t>
      </w:r>
      <w:r w:rsidR="00E27FE0" w:rsidRPr="006E6198">
        <w:rPr>
          <w:rFonts w:cs="Times New Roman"/>
          <w:i/>
          <w:szCs w:val="20"/>
        </w:rPr>
        <w:t>consistent niveau van regulering</w:t>
      </w:r>
      <w:r w:rsidR="00E27FE0" w:rsidRPr="006E6198">
        <w:rPr>
          <w:rFonts w:cs="Times New Roman"/>
          <w:szCs w:val="20"/>
        </w:rPr>
        <w:t>” en het garanderen van “</w:t>
      </w:r>
      <w:r w:rsidR="00E27FE0" w:rsidRPr="006E6198">
        <w:rPr>
          <w:rFonts w:cs="Times New Roman"/>
          <w:i/>
          <w:szCs w:val="20"/>
        </w:rPr>
        <w:t>gelijke marktvoorwaarden</w:t>
      </w:r>
      <w:r w:rsidR="00E27FE0" w:rsidRPr="006E6198">
        <w:rPr>
          <w:rFonts w:cs="Times New Roman"/>
          <w:szCs w:val="20"/>
        </w:rPr>
        <w:t>”.</w:t>
      </w:r>
      <w:r w:rsidR="00E27FE0">
        <w:rPr>
          <w:rStyle w:val="Voetnootmarkering"/>
          <w:rFonts w:cs="Times New Roman"/>
          <w:szCs w:val="20"/>
        </w:rPr>
        <w:footnoteReference w:id="82"/>
      </w:r>
      <w:r w:rsidR="00126F5E" w:rsidRPr="006E6198">
        <w:rPr>
          <w:rFonts w:cs="Times New Roman"/>
          <w:szCs w:val="20"/>
        </w:rPr>
        <w:t xml:space="preserve"> </w:t>
      </w:r>
      <w:r w:rsidR="002F63AE" w:rsidRPr="006E6198">
        <w:rPr>
          <w:rFonts w:cs="Times New Roman"/>
          <w:szCs w:val="20"/>
        </w:rPr>
        <w:t>Ook binnen het productinterventieregime zelf streeft artikel 43 MiFIR de on</w:t>
      </w:r>
      <w:r w:rsidR="0007006A">
        <w:rPr>
          <w:rFonts w:cs="Times New Roman"/>
          <w:szCs w:val="20"/>
        </w:rPr>
        <w:softHyphen/>
      </w:r>
      <w:r w:rsidR="002F63AE" w:rsidRPr="006E6198">
        <w:rPr>
          <w:rFonts w:cs="Times New Roman"/>
          <w:szCs w:val="20"/>
        </w:rPr>
        <w:t xml:space="preserve">derlinge afstemming van </w:t>
      </w:r>
      <w:r w:rsidR="007929EF">
        <w:rPr>
          <w:rFonts w:cs="Times New Roman"/>
          <w:szCs w:val="20"/>
        </w:rPr>
        <w:t xml:space="preserve">nationale </w:t>
      </w:r>
      <w:r w:rsidR="002F63AE" w:rsidRPr="006E6198">
        <w:rPr>
          <w:rFonts w:cs="Times New Roman"/>
          <w:szCs w:val="20"/>
        </w:rPr>
        <w:t>productinterventie</w:t>
      </w:r>
      <w:r w:rsidR="007929EF">
        <w:rPr>
          <w:rFonts w:cs="Times New Roman"/>
          <w:szCs w:val="20"/>
        </w:rPr>
        <w:t>s</w:t>
      </w:r>
      <w:r w:rsidR="002F63AE" w:rsidRPr="006E6198">
        <w:rPr>
          <w:rFonts w:cs="Times New Roman"/>
          <w:szCs w:val="20"/>
        </w:rPr>
        <w:t xml:space="preserve"> na en kan tot de vaststelling worden gekomen dat naast beleggersbescherming ook convergentie expliciet moet worden bereikt.</w:t>
      </w:r>
      <w:bookmarkEnd w:id="14"/>
      <w:r w:rsidR="00A4255B">
        <w:rPr>
          <w:rFonts w:cs="Times New Roman"/>
          <w:szCs w:val="20"/>
        </w:rPr>
        <w:t xml:space="preserve"> </w:t>
      </w:r>
      <w:r w:rsidR="006D0D4B">
        <w:rPr>
          <w:rFonts w:cs="Times New Roman"/>
          <w:szCs w:val="20"/>
        </w:rPr>
        <w:t>Deze doelstellingen</w:t>
      </w:r>
      <w:r w:rsidR="004751A1">
        <w:rPr>
          <w:rFonts w:cs="Times New Roman"/>
          <w:szCs w:val="20"/>
        </w:rPr>
        <w:t xml:space="preserve"> staan op gespannen voet met enerzijds</w:t>
      </w:r>
      <w:r w:rsidR="006D0D4B">
        <w:rPr>
          <w:rFonts w:cs="Times New Roman"/>
          <w:szCs w:val="20"/>
        </w:rPr>
        <w:t xml:space="preserve"> </w:t>
      </w:r>
      <w:r w:rsidR="004751A1">
        <w:rPr>
          <w:rFonts w:cs="Times New Roman"/>
          <w:szCs w:val="20"/>
        </w:rPr>
        <w:t>het onvoorwaardelijk laten verder bestaan van</w:t>
      </w:r>
      <w:r w:rsidR="006D0D4B">
        <w:rPr>
          <w:rFonts w:cs="Times New Roman"/>
          <w:szCs w:val="20"/>
        </w:rPr>
        <w:t xml:space="preserve"> FSMA-reglementen na de inwer</w:t>
      </w:r>
      <w:r w:rsidR="004751A1">
        <w:rPr>
          <w:rFonts w:cs="Times New Roman"/>
          <w:szCs w:val="20"/>
        </w:rPr>
        <w:t>kingtreding van MiFIR en PRIIPS</w:t>
      </w:r>
      <w:r w:rsidR="006D0D4B">
        <w:rPr>
          <w:rFonts w:cs="Times New Roman"/>
          <w:szCs w:val="20"/>
        </w:rPr>
        <w:t xml:space="preserve"> (</w:t>
      </w:r>
      <w:r w:rsidR="006D0D4B" w:rsidRPr="006D0D4B">
        <w:rPr>
          <w:rFonts w:cs="Times New Roman"/>
          <w:i/>
          <w:szCs w:val="20"/>
        </w:rPr>
        <w:t>supra</w:t>
      </w:r>
      <w:r w:rsidR="006D0D4B">
        <w:rPr>
          <w:rFonts w:cs="Times New Roman"/>
          <w:szCs w:val="20"/>
        </w:rPr>
        <w:t xml:space="preserve"> </w:t>
      </w:r>
      <w:r w:rsidR="006D0D4B">
        <w:rPr>
          <w:rFonts w:cs="Times New Roman"/>
          <w:szCs w:val="20"/>
        </w:rPr>
        <w:fldChar w:fldCharType="begin"/>
      </w:r>
      <w:r w:rsidR="006D0D4B">
        <w:rPr>
          <w:rFonts w:cs="Times New Roman"/>
          <w:szCs w:val="20"/>
        </w:rPr>
        <w:instrText xml:space="preserve"> PAGEREF _Ref533154084 \h </w:instrText>
      </w:r>
      <w:r w:rsidR="006D0D4B">
        <w:rPr>
          <w:rFonts w:cs="Times New Roman"/>
          <w:szCs w:val="20"/>
        </w:rPr>
      </w:r>
      <w:r w:rsidR="006D0D4B">
        <w:rPr>
          <w:rFonts w:cs="Times New Roman"/>
          <w:szCs w:val="20"/>
        </w:rPr>
        <w:fldChar w:fldCharType="separate"/>
      </w:r>
      <w:r w:rsidR="006D0D4B">
        <w:rPr>
          <w:rFonts w:cs="Times New Roman"/>
          <w:noProof/>
          <w:szCs w:val="20"/>
        </w:rPr>
        <w:t>12</w:t>
      </w:r>
      <w:r w:rsidR="006D0D4B">
        <w:rPr>
          <w:rFonts w:cs="Times New Roman"/>
          <w:szCs w:val="20"/>
        </w:rPr>
        <w:fldChar w:fldCharType="end"/>
      </w:r>
      <w:r w:rsidR="006D0D4B">
        <w:rPr>
          <w:rFonts w:cs="Times New Roman"/>
          <w:szCs w:val="20"/>
        </w:rPr>
        <w:t xml:space="preserve"> nr. </w:t>
      </w:r>
      <w:r w:rsidR="006D0D4B">
        <w:rPr>
          <w:rFonts w:cs="Times New Roman"/>
          <w:szCs w:val="20"/>
        </w:rPr>
        <w:fldChar w:fldCharType="begin"/>
      </w:r>
      <w:r w:rsidR="006D0D4B">
        <w:rPr>
          <w:rFonts w:cs="Times New Roman"/>
          <w:szCs w:val="20"/>
        </w:rPr>
        <w:instrText xml:space="preserve"> REF _Ref533154084 \r \h </w:instrText>
      </w:r>
      <w:r w:rsidR="006D0D4B">
        <w:rPr>
          <w:rFonts w:cs="Times New Roman"/>
          <w:szCs w:val="20"/>
        </w:rPr>
      </w:r>
      <w:r w:rsidR="006D0D4B">
        <w:rPr>
          <w:rFonts w:cs="Times New Roman"/>
          <w:szCs w:val="20"/>
        </w:rPr>
        <w:fldChar w:fldCharType="separate"/>
      </w:r>
      <w:r w:rsidR="006D0D4B">
        <w:rPr>
          <w:rFonts w:cs="Times New Roman"/>
          <w:szCs w:val="20"/>
        </w:rPr>
        <w:t>17</w:t>
      </w:r>
      <w:r w:rsidR="006D0D4B">
        <w:rPr>
          <w:rFonts w:cs="Times New Roman"/>
          <w:szCs w:val="20"/>
        </w:rPr>
        <w:fldChar w:fldCharType="end"/>
      </w:r>
      <w:r w:rsidR="006D0D4B">
        <w:rPr>
          <w:rFonts w:cs="Times New Roman"/>
          <w:szCs w:val="20"/>
        </w:rPr>
        <w:t>)</w:t>
      </w:r>
      <w:r w:rsidR="004751A1">
        <w:rPr>
          <w:rFonts w:cs="Times New Roman"/>
          <w:szCs w:val="20"/>
        </w:rPr>
        <w:t xml:space="preserve"> en anderzijds het toestaan van strengere nationale interventiemaatregelen gedurende de looptijd van een ESA-besluit</w:t>
      </w:r>
      <w:r w:rsidR="006D0D4B">
        <w:rPr>
          <w:rFonts w:cs="Times New Roman"/>
          <w:szCs w:val="20"/>
        </w:rPr>
        <w:t>.</w:t>
      </w:r>
    </w:p>
    <w:p w:rsidR="00960EB8" w:rsidRDefault="005F46B1" w:rsidP="00166447">
      <w:pPr>
        <w:pStyle w:val="Lijstalinea"/>
        <w:numPr>
          <w:ilvl w:val="0"/>
          <w:numId w:val="3"/>
        </w:numPr>
        <w:spacing w:line="276" w:lineRule="auto"/>
        <w:rPr>
          <w:rFonts w:cs="Times New Roman"/>
          <w:szCs w:val="20"/>
        </w:rPr>
      </w:pPr>
      <w:r>
        <w:rPr>
          <w:rFonts w:cs="Times New Roman"/>
          <w:i/>
          <w:szCs w:val="20"/>
        </w:rPr>
        <w:t>Minimumbeschermingsniveau</w:t>
      </w:r>
      <w:r w:rsidR="003F1FF4">
        <w:rPr>
          <w:rFonts w:cs="Times New Roman"/>
          <w:i/>
          <w:szCs w:val="20"/>
        </w:rPr>
        <w:t>?</w:t>
      </w:r>
      <w:r w:rsidR="00166447">
        <w:rPr>
          <w:rFonts w:cs="Times New Roman"/>
          <w:szCs w:val="20"/>
        </w:rPr>
        <w:t xml:space="preserve"> </w:t>
      </w:r>
      <w:r w:rsidR="00166447" w:rsidRPr="00FB2A71">
        <w:rPr>
          <w:rFonts w:cs="Times New Roman"/>
          <w:szCs w:val="20"/>
        </w:rPr>
        <w:t>‒</w:t>
      </w:r>
      <w:r w:rsidR="00166447">
        <w:rPr>
          <w:rFonts w:cs="Times New Roman"/>
          <w:szCs w:val="20"/>
        </w:rPr>
        <w:t xml:space="preserve"> </w:t>
      </w:r>
      <w:r w:rsidR="003F1FF4">
        <w:rPr>
          <w:rFonts w:cs="Times New Roman"/>
          <w:szCs w:val="20"/>
        </w:rPr>
        <w:t>Het bovenstaande</w:t>
      </w:r>
      <w:r w:rsidR="00D34041">
        <w:rPr>
          <w:rFonts w:cs="Times New Roman"/>
          <w:szCs w:val="20"/>
        </w:rPr>
        <w:t xml:space="preserve"> </w:t>
      </w:r>
      <w:r w:rsidR="00F440F3" w:rsidRPr="00166447">
        <w:rPr>
          <w:rFonts w:cs="Times New Roman"/>
          <w:szCs w:val="20"/>
        </w:rPr>
        <w:t>leidt</w:t>
      </w:r>
      <w:r w:rsidR="00E17C00" w:rsidRPr="00166447">
        <w:rPr>
          <w:rFonts w:cs="Times New Roman"/>
          <w:szCs w:val="20"/>
        </w:rPr>
        <w:t xml:space="preserve"> tot de conclusie dat </w:t>
      </w:r>
      <w:r w:rsidR="00517FE7" w:rsidRPr="00166447">
        <w:rPr>
          <w:rFonts w:cs="Times New Roman"/>
          <w:szCs w:val="20"/>
        </w:rPr>
        <w:t>de</w:t>
      </w:r>
      <w:r w:rsidR="00E17C00" w:rsidRPr="00166447">
        <w:rPr>
          <w:rFonts w:cs="Times New Roman"/>
          <w:szCs w:val="20"/>
        </w:rPr>
        <w:t xml:space="preserve"> interpretatie </w:t>
      </w:r>
      <w:r w:rsidR="00517FE7" w:rsidRPr="00166447">
        <w:rPr>
          <w:rFonts w:cs="Times New Roman"/>
          <w:szCs w:val="20"/>
        </w:rPr>
        <w:t>van</w:t>
      </w:r>
      <w:r w:rsidR="00E17C00" w:rsidRPr="00166447">
        <w:rPr>
          <w:rFonts w:cs="Times New Roman"/>
          <w:szCs w:val="20"/>
        </w:rPr>
        <w:t xml:space="preserve"> schorsende werking van de </w:t>
      </w:r>
      <w:r w:rsidR="00126F5E" w:rsidRPr="00166447">
        <w:rPr>
          <w:rFonts w:cs="Times New Roman"/>
          <w:szCs w:val="20"/>
        </w:rPr>
        <w:t>ESA-</w:t>
      </w:r>
      <w:r w:rsidR="00E17C00" w:rsidRPr="00166447">
        <w:rPr>
          <w:rFonts w:cs="Times New Roman"/>
          <w:szCs w:val="20"/>
        </w:rPr>
        <w:t>besluiten de voorkeur verdient</w:t>
      </w:r>
      <w:r w:rsidR="000D171D" w:rsidRPr="00166447">
        <w:rPr>
          <w:rFonts w:cs="Times New Roman"/>
          <w:szCs w:val="20"/>
        </w:rPr>
        <w:t xml:space="preserve">, zij het met </w:t>
      </w:r>
      <w:r w:rsidR="00166447" w:rsidRPr="00166447">
        <w:rPr>
          <w:rFonts w:cs="Times New Roman"/>
          <w:szCs w:val="20"/>
        </w:rPr>
        <w:t xml:space="preserve">nog </w:t>
      </w:r>
      <w:r w:rsidR="000D171D" w:rsidRPr="00166447">
        <w:rPr>
          <w:rFonts w:cs="Times New Roman"/>
          <w:szCs w:val="20"/>
        </w:rPr>
        <w:t>e</w:t>
      </w:r>
      <w:r w:rsidR="00304DE9" w:rsidRPr="00166447">
        <w:rPr>
          <w:rFonts w:cs="Times New Roman"/>
          <w:szCs w:val="20"/>
        </w:rPr>
        <w:t>en</w:t>
      </w:r>
      <w:r w:rsidR="008C4DC8" w:rsidRPr="00166447">
        <w:rPr>
          <w:rFonts w:cs="Times New Roman"/>
          <w:szCs w:val="20"/>
        </w:rPr>
        <w:t xml:space="preserve"> belangrijke</w:t>
      </w:r>
      <w:r w:rsidR="000D171D" w:rsidRPr="00166447">
        <w:rPr>
          <w:rFonts w:cs="Times New Roman"/>
          <w:szCs w:val="20"/>
        </w:rPr>
        <w:t xml:space="preserve"> nuancering</w:t>
      </w:r>
      <w:r w:rsidR="00E17C00" w:rsidRPr="00166447">
        <w:rPr>
          <w:rFonts w:cs="Times New Roman"/>
          <w:szCs w:val="20"/>
        </w:rPr>
        <w:t xml:space="preserve">. </w:t>
      </w:r>
      <w:r w:rsidR="00304DE9" w:rsidRPr="00166447">
        <w:rPr>
          <w:rFonts w:cs="Times New Roman"/>
          <w:szCs w:val="20"/>
        </w:rPr>
        <w:t>E</w:t>
      </w:r>
      <w:r w:rsidR="00F53385" w:rsidRPr="00166447">
        <w:rPr>
          <w:rFonts w:cs="Times New Roman"/>
          <w:szCs w:val="20"/>
        </w:rPr>
        <w:t xml:space="preserve">en ESA-besluit </w:t>
      </w:r>
      <w:r w:rsidR="00304DE9" w:rsidRPr="00166447">
        <w:rPr>
          <w:rFonts w:cs="Times New Roman"/>
          <w:szCs w:val="20"/>
        </w:rPr>
        <w:t>kan</w:t>
      </w:r>
      <w:r w:rsidR="00F53385" w:rsidRPr="00166447">
        <w:rPr>
          <w:rFonts w:cs="Times New Roman"/>
          <w:szCs w:val="20"/>
        </w:rPr>
        <w:t xml:space="preserve"> </w:t>
      </w:r>
      <w:r w:rsidR="008C4DC8" w:rsidRPr="00166447">
        <w:rPr>
          <w:rFonts w:cs="Times New Roman"/>
          <w:szCs w:val="20"/>
        </w:rPr>
        <w:t>immers</w:t>
      </w:r>
      <w:r w:rsidR="00960EB8" w:rsidRPr="00166447">
        <w:rPr>
          <w:rFonts w:cs="Times New Roman"/>
          <w:szCs w:val="20"/>
        </w:rPr>
        <w:t xml:space="preserve"> ook nog</w:t>
      </w:r>
      <w:r w:rsidR="008C4DC8" w:rsidRPr="00166447">
        <w:rPr>
          <w:rFonts w:cs="Times New Roman"/>
          <w:szCs w:val="20"/>
        </w:rPr>
        <w:t xml:space="preserve"> </w:t>
      </w:r>
      <w:r w:rsidR="00F53385" w:rsidRPr="00166447">
        <w:rPr>
          <w:rFonts w:cs="Times New Roman"/>
          <w:szCs w:val="20"/>
        </w:rPr>
        <w:t xml:space="preserve">uitdrukkelijk aangeven </w:t>
      </w:r>
      <w:r w:rsidR="000D171D" w:rsidRPr="00166447">
        <w:rPr>
          <w:rFonts w:cs="Times New Roman"/>
          <w:szCs w:val="20"/>
        </w:rPr>
        <w:t>dat</w:t>
      </w:r>
      <w:r w:rsidR="00F53385" w:rsidRPr="00166447">
        <w:rPr>
          <w:rFonts w:cs="Times New Roman"/>
          <w:szCs w:val="20"/>
        </w:rPr>
        <w:t xml:space="preserve"> de lidstaten strenger </w:t>
      </w:r>
      <w:r w:rsidR="00304DE9" w:rsidRPr="00166447">
        <w:rPr>
          <w:rFonts w:cs="Times New Roman"/>
          <w:szCs w:val="20"/>
        </w:rPr>
        <w:t>mogen</w:t>
      </w:r>
      <w:r w:rsidR="00F53385" w:rsidRPr="00166447">
        <w:rPr>
          <w:rFonts w:cs="Times New Roman"/>
          <w:szCs w:val="20"/>
        </w:rPr>
        <w:t xml:space="preserve"> optreden. </w:t>
      </w:r>
      <w:r w:rsidR="00665C2F" w:rsidRPr="00166447">
        <w:rPr>
          <w:rFonts w:cs="Times New Roman"/>
          <w:szCs w:val="20"/>
        </w:rPr>
        <w:t xml:space="preserve">In de overwegingen van het </w:t>
      </w:r>
      <w:r w:rsidR="000D171D" w:rsidRPr="00166447">
        <w:rPr>
          <w:rFonts w:cs="Times New Roman"/>
          <w:szCs w:val="20"/>
        </w:rPr>
        <w:t>CFD</w:t>
      </w:r>
      <w:r w:rsidR="00665C2F" w:rsidRPr="00166447">
        <w:rPr>
          <w:rFonts w:cs="Times New Roman"/>
          <w:szCs w:val="20"/>
        </w:rPr>
        <w:t>-besluit benadrukt</w:t>
      </w:r>
      <w:r w:rsidR="00304DE9" w:rsidRPr="00166447">
        <w:rPr>
          <w:rFonts w:cs="Times New Roman"/>
          <w:szCs w:val="20"/>
        </w:rPr>
        <w:t xml:space="preserve"> de ESMA</w:t>
      </w:r>
      <w:r w:rsidR="00665C2F" w:rsidRPr="00166447">
        <w:rPr>
          <w:rFonts w:cs="Times New Roman"/>
          <w:szCs w:val="20"/>
        </w:rPr>
        <w:t xml:space="preserve"> dat de </w:t>
      </w:r>
      <w:r w:rsidR="000D171D" w:rsidRPr="00166447">
        <w:rPr>
          <w:rFonts w:cs="Times New Roman"/>
          <w:szCs w:val="20"/>
        </w:rPr>
        <w:t>gehele interventie</w:t>
      </w:r>
      <w:r w:rsidR="00CA1C7A" w:rsidRPr="00166447">
        <w:rPr>
          <w:rFonts w:cs="Times New Roman"/>
          <w:szCs w:val="20"/>
        </w:rPr>
        <w:t xml:space="preserve"> slechts</w:t>
      </w:r>
      <w:r w:rsidR="00665C2F" w:rsidRPr="00166447">
        <w:rPr>
          <w:rFonts w:cs="Times New Roman"/>
          <w:szCs w:val="20"/>
        </w:rPr>
        <w:t xml:space="preserve"> een minimumbeschermings</w:t>
      </w:r>
      <w:r w:rsidR="00CA1C7A" w:rsidRPr="00166447">
        <w:rPr>
          <w:rFonts w:cs="Times New Roman"/>
          <w:szCs w:val="20"/>
        </w:rPr>
        <w:t>niveau biedt en dat de nationale toezichthouders desgevallend</w:t>
      </w:r>
      <w:r w:rsidR="00665C2F" w:rsidRPr="00166447">
        <w:rPr>
          <w:rFonts w:cs="Times New Roman"/>
          <w:szCs w:val="20"/>
        </w:rPr>
        <w:t xml:space="preserve"> </w:t>
      </w:r>
      <w:r w:rsidR="00726DCB" w:rsidRPr="00166447">
        <w:rPr>
          <w:rFonts w:cs="Times New Roman"/>
          <w:szCs w:val="20"/>
        </w:rPr>
        <w:t>in meer bescherming mogen voorzien</w:t>
      </w:r>
      <w:r w:rsidR="00665C2F" w:rsidRPr="00166447">
        <w:rPr>
          <w:rFonts w:cs="Times New Roman"/>
          <w:szCs w:val="20"/>
        </w:rPr>
        <w:t>.</w:t>
      </w:r>
      <w:r w:rsidR="000D171D">
        <w:rPr>
          <w:rStyle w:val="Voetnootmarkering"/>
          <w:rFonts w:cs="Times New Roman"/>
          <w:szCs w:val="20"/>
        </w:rPr>
        <w:footnoteReference w:id="83"/>
      </w:r>
      <w:r w:rsidR="00304DE9" w:rsidRPr="00166447">
        <w:rPr>
          <w:rFonts w:cs="Times New Roman"/>
          <w:szCs w:val="20"/>
        </w:rPr>
        <w:t xml:space="preserve"> </w:t>
      </w:r>
      <w:r w:rsidR="00005B3C" w:rsidRPr="00166447">
        <w:rPr>
          <w:rFonts w:cs="Times New Roman"/>
          <w:szCs w:val="20"/>
        </w:rPr>
        <w:t>Het tweede FSMA-reglement</w:t>
      </w:r>
      <w:r w:rsidR="00304DE9" w:rsidRPr="00166447">
        <w:rPr>
          <w:rFonts w:cs="Times New Roman"/>
          <w:szCs w:val="20"/>
        </w:rPr>
        <w:t xml:space="preserve"> kan </w:t>
      </w:r>
      <w:r w:rsidR="002E7108" w:rsidRPr="00166447">
        <w:rPr>
          <w:rFonts w:cs="Times New Roman"/>
          <w:szCs w:val="20"/>
        </w:rPr>
        <w:t>met betrekking tot CFD</w:t>
      </w:r>
      <w:r w:rsidR="005A2B62" w:rsidRPr="00166447">
        <w:rPr>
          <w:rFonts w:cs="Times New Roman"/>
          <w:szCs w:val="20"/>
        </w:rPr>
        <w:t>’</w:t>
      </w:r>
      <w:r w:rsidR="002E7108" w:rsidRPr="00166447">
        <w:rPr>
          <w:rFonts w:cs="Times New Roman"/>
          <w:szCs w:val="20"/>
        </w:rPr>
        <w:t>s</w:t>
      </w:r>
      <w:r w:rsidR="00304DE9" w:rsidRPr="00166447">
        <w:rPr>
          <w:rFonts w:cs="Times New Roman"/>
          <w:szCs w:val="20"/>
        </w:rPr>
        <w:t xml:space="preserve"> </w:t>
      </w:r>
      <w:r w:rsidR="005A2B62" w:rsidRPr="00166447">
        <w:rPr>
          <w:rFonts w:cs="Times New Roman"/>
          <w:szCs w:val="20"/>
        </w:rPr>
        <w:t xml:space="preserve">dus </w:t>
      </w:r>
      <w:r w:rsidR="00005B3C" w:rsidRPr="00166447">
        <w:rPr>
          <w:rFonts w:cs="Times New Roman"/>
          <w:szCs w:val="20"/>
        </w:rPr>
        <w:t>blijven</w:t>
      </w:r>
      <w:r w:rsidR="00304DE9" w:rsidRPr="00166447">
        <w:rPr>
          <w:rFonts w:cs="Times New Roman"/>
          <w:szCs w:val="20"/>
        </w:rPr>
        <w:t xml:space="preserve"> gelden</w:t>
      </w:r>
      <w:r w:rsidR="00166447">
        <w:rPr>
          <w:rFonts w:cs="Times New Roman"/>
          <w:szCs w:val="20"/>
        </w:rPr>
        <w:t>,</w:t>
      </w:r>
      <w:r w:rsidR="00C72B82" w:rsidRPr="00166447">
        <w:rPr>
          <w:rFonts w:cs="Times New Roman"/>
          <w:szCs w:val="20"/>
        </w:rPr>
        <w:t xml:space="preserve"> </w:t>
      </w:r>
      <w:r w:rsidR="00166447">
        <w:rPr>
          <w:rFonts w:cs="Times New Roman"/>
          <w:szCs w:val="20"/>
        </w:rPr>
        <w:t xml:space="preserve">maar enkel wanneer </w:t>
      </w:r>
      <w:r w:rsidR="00C72B82" w:rsidRPr="00166447">
        <w:rPr>
          <w:rFonts w:cs="Times New Roman"/>
          <w:szCs w:val="20"/>
        </w:rPr>
        <w:t xml:space="preserve">zij </w:t>
      </w:r>
      <w:r w:rsidR="00166447">
        <w:rPr>
          <w:rFonts w:cs="Times New Roman"/>
          <w:szCs w:val="20"/>
        </w:rPr>
        <w:t>eveneens</w:t>
      </w:r>
      <w:r w:rsidR="00C72B82" w:rsidRPr="00166447">
        <w:rPr>
          <w:rFonts w:cs="Times New Roman"/>
          <w:szCs w:val="20"/>
        </w:rPr>
        <w:t xml:space="preserve"> </w:t>
      </w:r>
      <w:r w:rsidR="00F50A14">
        <w:rPr>
          <w:rFonts w:cs="Times New Roman"/>
          <w:szCs w:val="20"/>
        </w:rPr>
        <w:t xml:space="preserve">na een aftoetsen dus </w:t>
      </w:r>
      <w:r w:rsidR="00960EB8" w:rsidRPr="00166447">
        <w:rPr>
          <w:rFonts w:cs="Times New Roman"/>
          <w:szCs w:val="20"/>
        </w:rPr>
        <w:t>voldoet aan de voorwaarden van de geharmoniseerde productinterventieregimes.</w:t>
      </w:r>
      <w:r w:rsidR="00C368B8">
        <w:rPr>
          <w:rFonts w:cs="Times New Roman"/>
          <w:szCs w:val="20"/>
        </w:rPr>
        <w:t xml:space="preserve"> </w:t>
      </w:r>
      <w:r w:rsidR="00304DE9" w:rsidRPr="00166447">
        <w:rPr>
          <w:rFonts w:cs="Times New Roman"/>
          <w:szCs w:val="20"/>
        </w:rPr>
        <w:t>Het besluit dat het verbod op binaire opties versoepelt</w:t>
      </w:r>
      <w:r w:rsidR="002E7108">
        <w:rPr>
          <w:rStyle w:val="Voetnootmarkering"/>
          <w:rFonts w:cs="Times New Roman"/>
          <w:szCs w:val="20"/>
        </w:rPr>
        <w:footnoteReference w:id="84"/>
      </w:r>
      <w:r w:rsidR="00304DE9" w:rsidRPr="00166447">
        <w:rPr>
          <w:rFonts w:cs="Times New Roman"/>
          <w:szCs w:val="20"/>
        </w:rPr>
        <w:t xml:space="preserve"> </w:t>
      </w:r>
      <w:r w:rsidR="005A2B62" w:rsidRPr="00166447">
        <w:rPr>
          <w:rFonts w:cs="Times New Roman"/>
          <w:szCs w:val="20"/>
        </w:rPr>
        <w:t>geef</w:t>
      </w:r>
      <w:r w:rsidR="00BF069E" w:rsidRPr="00166447">
        <w:rPr>
          <w:rFonts w:cs="Times New Roman"/>
          <w:szCs w:val="20"/>
        </w:rPr>
        <w:t>t dergelijke toelating echter niet</w:t>
      </w:r>
      <w:r w:rsidR="005A16BD" w:rsidRPr="00166447">
        <w:rPr>
          <w:rFonts w:cs="Times New Roman"/>
          <w:szCs w:val="20"/>
        </w:rPr>
        <w:t xml:space="preserve">, waardoor </w:t>
      </w:r>
      <w:r w:rsidR="00005B3C" w:rsidRPr="00166447">
        <w:rPr>
          <w:rFonts w:cs="Times New Roman"/>
          <w:szCs w:val="20"/>
        </w:rPr>
        <w:t xml:space="preserve">het </w:t>
      </w:r>
      <w:r w:rsidR="00BF069E" w:rsidRPr="00166447">
        <w:rPr>
          <w:rFonts w:cs="Times New Roman"/>
          <w:szCs w:val="20"/>
        </w:rPr>
        <w:t>tweede</w:t>
      </w:r>
      <w:r w:rsidR="000206C3" w:rsidRPr="00166447">
        <w:rPr>
          <w:rFonts w:cs="Times New Roman"/>
          <w:szCs w:val="20"/>
        </w:rPr>
        <w:t xml:space="preserve"> FSMA-</w:t>
      </w:r>
      <w:r w:rsidR="00BF069E" w:rsidRPr="00166447">
        <w:rPr>
          <w:rFonts w:cs="Times New Roman"/>
          <w:szCs w:val="20"/>
        </w:rPr>
        <w:t xml:space="preserve">reglement op dit punt </w:t>
      </w:r>
      <w:r w:rsidR="00F84C16">
        <w:rPr>
          <w:rFonts w:cs="Times New Roman"/>
          <w:szCs w:val="20"/>
        </w:rPr>
        <w:t>in ieder geval niet van toepassing kan zijn</w:t>
      </w:r>
      <w:r w:rsidR="00304DE9" w:rsidRPr="00166447">
        <w:rPr>
          <w:rFonts w:cs="Times New Roman"/>
          <w:szCs w:val="20"/>
        </w:rPr>
        <w:t xml:space="preserve">. </w:t>
      </w:r>
      <w:r w:rsidR="00005B3C" w:rsidRPr="00166447">
        <w:rPr>
          <w:rFonts w:cs="Times New Roman"/>
          <w:szCs w:val="20"/>
        </w:rPr>
        <w:t>De ESA-besluiten streven</w:t>
      </w:r>
      <w:r w:rsidR="00BF069E" w:rsidRPr="00166447">
        <w:rPr>
          <w:rFonts w:cs="Times New Roman"/>
          <w:szCs w:val="20"/>
        </w:rPr>
        <w:t xml:space="preserve"> immers</w:t>
      </w:r>
      <w:r w:rsidR="00005B3C" w:rsidRPr="00166447">
        <w:rPr>
          <w:rFonts w:cs="Times New Roman"/>
          <w:szCs w:val="20"/>
        </w:rPr>
        <w:t xml:space="preserve"> principieel een maximaal harmoniserende werking na</w:t>
      </w:r>
      <w:r w:rsidR="00CA1C7A" w:rsidRPr="00166447">
        <w:rPr>
          <w:rFonts w:cs="Times New Roman"/>
          <w:szCs w:val="20"/>
        </w:rPr>
        <w:t>. De verordeningen</w:t>
      </w:r>
      <w:r w:rsidR="00DF536A" w:rsidRPr="00166447">
        <w:rPr>
          <w:rFonts w:cs="Times New Roman"/>
          <w:szCs w:val="20"/>
        </w:rPr>
        <w:t xml:space="preserve"> waarop </w:t>
      </w:r>
      <w:r w:rsidR="004D2E58" w:rsidRPr="00166447">
        <w:rPr>
          <w:rFonts w:cs="Times New Roman"/>
          <w:szCs w:val="20"/>
        </w:rPr>
        <w:t>deze</w:t>
      </w:r>
      <w:r w:rsidR="00DF536A" w:rsidRPr="00166447">
        <w:rPr>
          <w:rFonts w:cs="Times New Roman"/>
          <w:szCs w:val="20"/>
        </w:rPr>
        <w:t xml:space="preserve"> zijn gebaseerd</w:t>
      </w:r>
      <w:r w:rsidR="00CA1C7A" w:rsidRPr="00166447">
        <w:rPr>
          <w:rFonts w:cs="Times New Roman"/>
          <w:szCs w:val="20"/>
        </w:rPr>
        <w:t xml:space="preserve"> geven zelf nergens</w:t>
      </w:r>
      <w:r w:rsidR="002E7108" w:rsidRPr="00166447">
        <w:rPr>
          <w:rFonts w:cs="Times New Roman"/>
          <w:szCs w:val="20"/>
        </w:rPr>
        <w:t xml:space="preserve"> aan dat een ESA-besluit slechts een </w:t>
      </w:r>
      <w:r w:rsidR="00CA1C7A" w:rsidRPr="00166447">
        <w:rPr>
          <w:rFonts w:cs="Times New Roman"/>
          <w:szCs w:val="20"/>
        </w:rPr>
        <w:t xml:space="preserve">minimale bescherming </w:t>
      </w:r>
      <w:r w:rsidR="002E7108" w:rsidRPr="00166447">
        <w:rPr>
          <w:rFonts w:cs="Times New Roman"/>
          <w:szCs w:val="20"/>
        </w:rPr>
        <w:t>zou bieden</w:t>
      </w:r>
      <w:r w:rsidR="00CA1C7A" w:rsidRPr="00166447">
        <w:rPr>
          <w:rFonts w:cs="Times New Roman"/>
          <w:szCs w:val="20"/>
        </w:rPr>
        <w:t xml:space="preserve">. </w:t>
      </w:r>
      <w:r w:rsidR="000206C3" w:rsidRPr="00166447">
        <w:rPr>
          <w:rFonts w:cs="Times New Roman"/>
          <w:szCs w:val="20"/>
        </w:rPr>
        <w:t>Ze</w:t>
      </w:r>
      <w:r w:rsidR="00726DCB" w:rsidRPr="00166447">
        <w:rPr>
          <w:rFonts w:cs="Times New Roman"/>
          <w:szCs w:val="20"/>
        </w:rPr>
        <w:t xml:space="preserve"> benadrukken </w:t>
      </w:r>
      <w:r w:rsidR="00DF536A" w:rsidRPr="00166447">
        <w:rPr>
          <w:rFonts w:cs="Times New Roman"/>
          <w:szCs w:val="20"/>
        </w:rPr>
        <w:t xml:space="preserve">zelfs </w:t>
      </w:r>
      <w:r w:rsidR="00745A90" w:rsidRPr="00166447">
        <w:rPr>
          <w:rFonts w:cs="Times New Roman"/>
          <w:szCs w:val="20"/>
        </w:rPr>
        <w:t>het tegengestelde door</w:t>
      </w:r>
      <w:r w:rsidR="00CA1C7A" w:rsidRPr="00166447">
        <w:rPr>
          <w:rFonts w:cs="Times New Roman"/>
          <w:szCs w:val="20"/>
        </w:rPr>
        <w:t xml:space="preserve">dat </w:t>
      </w:r>
      <w:r w:rsidR="00745A90" w:rsidRPr="00166447">
        <w:rPr>
          <w:rFonts w:cs="Times New Roman"/>
          <w:szCs w:val="20"/>
        </w:rPr>
        <w:t xml:space="preserve">maatregelen </w:t>
      </w:r>
      <w:r w:rsidR="00871338" w:rsidRPr="00166447">
        <w:rPr>
          <w:rFonts w:cs="Times New Roman"/>
          <w:szCs w:val="20"/>
        </w:rPr>
        <w:t xml:space="preserve">genomen </w:t>
      </w:r>
      <w:r w:rsidR="00745A90" w:rsidRPr="00166447">
        <w:rPr>
          <w:rFonts w:cs="Times New Roman"/>
          <w:szCs w:val="20"/>
        </w:rPr>
        <w:t>onder het nationale regime</w:t>
      </w:r>
      <w:r w:rsidR="00CA1C7A" w:rsidRPr="00166447">
        <w:rPr>
          <w:rFonts w:cs="Times New Roman"/>
          <w:szCs w:val="20"/>
        </w:rPr>
        <w:t xml:space="preserve"> vervallen </w:t>
      </w:r>
      <w:r w:rsidR="00726DCB" w:rsidRPr="00166447">
        <w:rPr>
          <w:rFonts w:cs="Times New Roman"/>
          <w:szCs w:val="20"/>
        </w:rPr>
        <w:t>door de invoering van een besluit op Unieniveau</w:t>
      </w:r>
      <w:r w:rsidR="00CA1C7A" w:rsidRPr="00166447">
        <w:rPr>
          <w:rFonts w:cs="Times New Roman"/>
          <w:szCs w:val="20"/>
        </w:rPr>
        <w:t>.</w:t>
      </w:r>
      <w:r w:rsidR="00726DCB" w:rsidRPr="00726DCB">
        <w:rPr>
          <w:vertAlign w:val="superscript"/>
        </w:rPr>
        <w:footnoteReference w:id="85"/>
      </w:r>
      <w:bookmarkEnd w:id="10"/>
    </w:p>
    <w:p w:rsidR="00222244" w:rsidRDefault="00222244" w:rsidP="00253E6B">
      <w:pPr>
        <w:spacing w:line="276" w:lineRule="auto"/>
        <w:rPr>
          <w:rFonts w:cs="Times New Roman"/>
          <w:b/>
          <w:i/>
          <w:szCs w:val="20"/>
        </w:rPr>
      </w:pPr>
      <w:r w:rsidRPr="00222244">
        <w:rPr>
          <w:rFonts w:cs="Times New Roman"/>
          <w:b/>
          <w:szCs w:val="20"/>
        </w:rPr>
        <w:t xml:space="preserve">B. </w:t>
      </w:r>
      <w:r w:rsidR="00700EA7">
        <w:rPr>
          <w:rFonts w:cs="Times New Roman"/>
          <w:b/>
          <w:szCs w:val="20"/>
        </w:rPr>
        <w:t>Bevordering van de transparantie</w:t>
      </w:r>
    </w:p>
    <w:p w:rsidR="00F136EC" w:rsidRDefault="004B7393" w:rsidP="00643C19">
      <w:pPr>
        <w:pStyle w:val="Lijstalinea"/>
        <w:numPr>
          <w:ilvl w:val="0"/>
          <w:numId w:val="3"/>
        </w:numPr>
        <w:spacing w:line="276" w:lineRule="auto"/>
      </w:pPr>
      <w:r w:rsidRPr="00FA6667">
        <w:rPr>
          <w:i/>
        </w:rPr>
        <w:t>Naar kwaliteitsvolle informatie</w:t>
      </w:r>
      <w:r w:rsidRPr="00643C19">
        <w:t xml:space="preserve"> ‒ </w:t>
      </w:r>
      <w:r w:rsidR="00F136EC" w:rsidRPr="00643C19">
        <w:t>Net zoals de bevoegdheid tot productinterventie, vindt deze tweede bevoegd</w:t>
      </w:r>
      <w:r w:rsidR="0007006A">
        <w:softHyphen/>
      </w:r>
      <w:r w:rsidR="00F136EC" w:rsidRPr="00643C19">
        <w:t>heid haar oorsprong in de voorloper van artikel 30</w:t>
      </w:r>
      <w:r w:rsidR="00F136EC" w:rsidRPr="00FA6667">
        <w:rPr>
          <w:i/>
        </w:rPr>
        <w:t>bis</w:t>
      </w:r>
      <w:r w:rsidR="00F136EC" w:rsidRPr="00643C19">
        <w:t xml:space="preserve"> WFT. Het</w:t>
      </w:r>
      <w:r w:rsidR="000F2459">
        <w:t xml:space="preserve"> vroegere</w:t>
      </w:r>
      <w:r w:rsidR="00F136EC" w:rsidRPr="00643C19">
        <w:t xml:space="preserve"> artikel 49, §3 WFT </w:t>
      </w:r>
      <w:r w:rsidR="00517FE7">
        <w:t>regelde</w:t>
      </w:r>
      <w:r w:rsidR="00643C19" w:rsidRPr="00643C19">
        <w:t xml:space="preserve"> de mogelijk</w:t>
      </w:r>
      <w:r w:rsidR="0007006A">
        <w:softHyphen/>
      </w:r>
      <w:r w:rsidR="00643C19" w:rsidRPr="00643C19">
        <w:t>heid voor de Belgische financiële toezichthouder om reglementen uit te vaardigen die “</w:t>
      </w:r>
      <w:r w:rsidR="00643C19" w:rsidRPr="00643C19">
        <w:rPr>
          <w:i/>
        </w:rPr>
        <w:t xml:space="preserve">de transparantie over de </w:t>
      </w:r>
      <w:r w:rsidR="00643C19" w:rsidRPr="00643C19">
        <w:rPr>
          <w:i/>
        </w:rPr>
        <w:lastRenderedPageBreak/>
        <w:t>tarifering en de administratiekosten van dergelijke producten bevorderen</w:t>
      </w:r>
      <w:r w:rsidR="00643C19" w:rsidRPr="00643C19">
        <w:t>”.</w:t>
      </w:r>
      <w:r w:rsidR="00FA6667">
        <w:t xml:space="preserve"> </w:t>
      </w:r>
      <w:r w:rsidR="000F2459">
        <w:t>D</w:t>
      </w:r>
      <w:r w:rsidR="00FA6667">
        <w:t>e memorie van toelichting bena</w:t>
      </w:r>
      <w:r w:rsidR="0007006A">
        <w:softHyphen/>
      </w:r>
      <w:r w:rsidR="00FA6667">
        <w:t>drukt</w:t>
      </w:r>
      <w:r w:rsidR="00135C35">
        <w:t>e</w:t>
      </w:r>
      <w:r w:rsidR="00FA6667">
        <w:t xml:space="preserve"> </w:t>
      </w:r>
      <w:r w:rsidR="00F40B31">
        <w:t>het belang van het streven</w:t>
      </w:r>
      <w:r w:rsidR="00FA6667">
        <w:t xml:space="preserve"> naar regels die voor alle instrumenten en producten gelijk zijn.</w:t>
      </w:r>
      <w:r w:rsidR="00FA6667">
        <w:rPr>
          <w:rStyle w:val="Voetnootmarkering"/>
        </w:rPr>
        <w:footnoteReference w:id="86"/>
      </w:r>
      <w:r w:rsidR="00643C19" w:rsidRPr="00643C19">
        <w:t xml:space="preserve"> </w:t>
      </w:r>
      <w:r w:rsidR="00FA6667">
        <w:t>Hiermee be</w:t>
      </w:r>
      <w:r w:rsidR="0007006A">
        <w:softHyphen/>
      </w:r>
      <w:r w:rsidR="00FA6667">
        <w:t>doeld</w:t>
      </w:r>
      <w:r w:rsidR="000F2459">
        <w:t>e de wetgever wellicht</w:t>
      </w:r>
      <w:r w:rsidR="00FA6667">
        <w:t xml:space="preserve"> dat dergelijke reglementen gestandaardiseerde en eenvoudige informatieverstrekking tot voorwerp moe</w:t>
      </w:r>
      <w:r w:rsidR="0086536B">
        <w:t>s</w:t>
      </w:r>
      <w:r w:rsidR="00FA6667">
        <w:t xml:space="preserve">ten hebben. </w:t>
      </w:r>
      <w:r w:rsidR="00643C19" w:rsidRPr="00643C19">
        <w:t>Artikel 30</w:t>
      </w:r>
      <w:r w:rsidR="00643C19" w:rsidRPr="00B022A5">
        <w:rPr>
          <w:i/>
        </w:rPr>
        <w:t>bis</w:t>
      </w:r>
      <w:r w:rsidR="000F2459">
        <w:t>, eerste lid, 2°</w:t>
      </w:r>
      <w:r w:rsidR="00643C19" w:rsidRPr="00643C19">
        <w:t xml:space="preserve"> WFT </w:t>
      </w:r>
      <w:r w:rsidR="00FA6667">
        <w:t>bevestigt dit door te stellen dat</w:t>
      </w:r>
      <w:r w:rsidR="00643C19" w:rsidRPr="00643C19">
        <w:t xml:space="preserve"> het reglementen betreft die “</w:t>
      </w:r>
      <w:r w:rsidR="00643C19" w:rsidRPr="00643C19">
        <w:rPr>
          <w:i/>
        </w:rPr>
        <w:t>via de verplichte vermelding van een label of anderszins, de transparantie bevorderen van dergelijke producten, van bepaalde categorieën van dergelijke producten of van de risico's, prijzen, vergoedingen en kosten ervan</w:t>
      </w:r>
      <w:r w:rsidR="00643C19" w:rsidRPr="00643C19">
        <w:t>”.</w:t>
      </w:r>
      <w:r w:rsidR="007C0936">
        <w:t xml:space="preserve"> De wetgever wou met deze wijziging </w:t>
      </w:r>
      <w:r w:rsidR="000F2459">
        <w:t>aangeven</w:t>
      </w:r>
      <w:r w:rsidR="007C0936">
        <w:t xml:space="preserve"> dat reglementen die de transparantie bevorderen, desge</w:t>
      </w:r>
      <w:r w:rsidR="0007006A">
        <w:softHyphen/>
      </w:r>
      <w:r w:rsidR="007C0936">
        <w:t xml:space="preserve">vallend ook kunnen voorzien in een label, dat de risicograad en/of geschiktheid van financiële producten op zeer gestandaardiseerde </w:t>
      </w:r>
      <w:r w:rsidR="00410BF9">
        <w:t xml:space="preserve">en dus zeer vergelijkbare </w:t>
      </w:r>
      <w:r w:rsidR="007C0936">
        <w:t>wijze weergeeft.</w:t>
      </w:r>
      <w:r w:rsidR="00410BF9">
        <w:rPr>
          <w:rStyle w:val="Voetnootmarkering"/>
        </w:rPr>
        <w:footnoteReference w:id="87"/>
      </w:r>
      <w:r w:rsidR="00052FB2">
        <w:t xml:space="preserve"> De</w:t>
      </w:r>
      <w:r w:rsidR="000F2459">
        <w:t>ze</w:t>
      </w:r>
      <w:r w:rsidR="00052FB2">
        <w:t xml:space="preserve"> bepaling is te situeren in een tendens</w:t>
      </w:r>
      <w:r w:rsidR="00F91D3C">
        <w:t xml:space="preserve"> in de </w:t>
      </w:r>
      <w:r w:rsidR="00904E55">
        <w:t xml:space="preserve">financiële </w:t>
      </w:r>
      <w:r w:rsidR="00F91D3C">
        <w:t>regelgeving</w:t>
      </w:r>
      <w:r w:rsidR="00052FB2">
        <w:t xml:space="preserve"> waarbij beleggers</w:t>
      </w:r>
      <w:r w:rsidR="00F91D3C">
        <w:t xml:space="preserve"> </w:t>
      </w:r>
      <w:r w:rsidR="00F91D3C" w:rsidRPr="00643C19">
        <w:t>‒</w:t>
      </w:r>
      <w:r w:rsidR="00F91D3C">
        <w:t xml:space="preserve"> </w:t>
      </w:r>
      <w:r w:rsidR="00052FB2">
        <w:t>en in de ruime</w:t>
      </w:r>
      <w:r w:rsidR="00904E55">
        <w:t>re</w:t>
      </w:r>
      <w:r w:rsidR="00052FB2">
        <w:t xml:space="preserve"> zin van artikel 30</w:t>
      </w:r>
      <w:r w:rsidR="00052FB2">
        <w:rPr>
          <w:i/>
        </w:rPr>
        <w:t>bis</w:t>
      </w:r>
      <w:r w:rsidR="00052FB2">
        <w:t xml:space="preserve"> WFT</w:t>
      </w:r>
      <w:r w:rsidR="00904E55">
        <w:t>,</w:t>
      </w:r>
      <w:r w:rsidR="00052FB2">
        <w:t xml:space="preserve"> afnemers</w:t>
      </w:r>
      <w:r w:rsidR="00904E55">
        <w:t xml:space="preserve"> van financiële producten</w:t>
      </w:r>
      <w:r w:rsidR="00F91D3C">
        <w:t xml:space="preserve"> </w:t>
      </w:r>
      <w:r w:rsidR="00F91D3C" w:rsidRPr="00643C19">
        <w:t>‒</w:t>
      </w:r>
      <w:r w:rsidR="00052FB2">
        <w:t xml:space="preserve"> niet langer beschermd worden door de kwantiteit van de verstrekte informatie, maar wel door te voor</w:t>
      </w:r>
      <w:r w:rsidR="0007006A">
        <w:softHyphen/>
      </w:r>
      <w:r w:rsidR="00052FB2">
        <w:t>zien in kwaliteitsvolle informatieverstrekking</w:t>
      </w:r>
      <w:r w:rsidR="008437FF">
        <w:t>. Dit is informatie</w:t>
      </w:r>
      <w:r w:rsidR="00052FB2">
        <w:t xml:space="preserve"> </w:t>
      </w:r>
      <w:r w:rsidR="00904E55">
        <w:t>die</w:t>
      </w:r>
      <w:r w:rsidR="00052FB2">
        <w:t xml:space="preserve"> </w:t>
      </w:r>
      <w:r w:rsidR="00904E55">
        <w:t>gestandaardiseerd en eenvoudig</w:t>
      </w:r>
      <w:r w:rsidR="00052FB2">
        <w:t xml:space="preserve"> </w:t>
      </w:r>
      <w:r w:rsidR="00904E55">
        <w:t>is</w:t>
      </w:r>
      <w:r w:rsidR="008437FF">
        <w:t xml:space="preserve"> waardoor afnemers financiële producten makkelijk kunnen vergelijken en daardoor ook de risico’s kunnen inschatten</w:t>
      </w:r>
      <w:r w:rsidR="00052FB2">
        <w:t xml:space="preserve">. Ook op Europeesrechtelijk niveau is deze </w:t>
      </w:r>
      <w:r w:rsidR="00F91D3C">
        <w:t>tendens</w:t>
      </w:r>
      <w:r w:rsidR="008437FF">
        <w:t xml:space="preserve"> naar kwaliteitsvolle informatie</w:t>
      </w:r>
      <w:r w:rsidR="00F91D3C">
        <w:t xml:space="preserve"> </w:t>
      </w:r>
      <w:r w:rsidR="0086536B">
        <w:t>merk</w:t>
      </w:r>
      <w:r w:rsidR="00F91D3C">
        <w:t>baar met de invoering van es</w:t>
      </w:r>
      <w:r w:rsidR="0007006A">
        <w:softHyphen/>
      </w:r>
      <w:r w:rsidR="00F91D3C">
        <w:t>sentiële beleggersinformatie (‘</w:t>
      </w:r>
      <w:r w:rsidR="00F91D3C" w:rsidRPr="00F91D3C">
        <w:rPr>
          <w:i/>
        </w:rPr>
        <w:t>key investor information</w:t>
      </w:r>
      <w:r w:rsidR="00F91D3C">
        <w:t xml:space="preserve">’). De optimalisatie van de informatieverstrekking vond </w:t>
      </w:r>
      <w:r w:rsidR="000F2459">
        <w:t xml:space="preserve">met name </w:t>
      </w:r>
      <w:r w:rsidR="00F91D3C">
        <w:t>ingang bij de instellingen voor collectieve belegging ingevolge de UCITS IV-Richtlijn</w:t>
      </w:r>
      <w:r w:rsidR="00F91D3C">
        <w:rPr>
          <w:rStyle w:val="Voetnootmarkering"/>
        </w:rPr>
        <w:footnoteReference w:id="88"/>
      </w:r>
      <w:r w:rsidR="00F91D3C">
        <w:t>, in de gewij</w:t>
      </w:r>
      <w:r w:rsidR="0007006A">
        <w:softHyphen/>
      </w:r>
      <w:r w:rsidR="00F91D3C">
        <w:t>zigde Prospectusrichtlijn</w:t>
      </w:r>
      <w:r w:rsidR="00904E55">
        <w:rPr>
          <w:rStyle w:val="Voetnootmarkering"/>
        </w:rPr>
        <w:footnoteReference w:id="89"/>
      </w:r>
      <w:r w:rsidR="00F91D3C">
        <w:t xml:space="preserve"> en onlangs in de PRIIPS-verordening</w:t>
      </w:r>
      <w:r w:rsidR="00DA0DA1">
        <w:rPr>
          <w:rStyle w:val="Voetnootmarkering"/>
        </w:rPr>
        <w:footnoteReference w:id="90"/>
      </w:r>
      <w:r w:rsidR="00F91D3C">
        <w:t>. Het verstrekken van heldere, eenvoudige in</w:t>
      </w:r>
      <w:r w:rsidR="0007006A">
        <w:softHyphen/>
      </w:r>
      <w:r w:rsidR="00F91D3C">
        <w:t xml:space="preserve">formatie </w:t>
      </w:r>
      <w:r w:rsidR="00904E55">
        <w:t>moest worden verkozen boven het streven naar een zo volledig mogelijke informatieverstrekking.</w:t>
      </w:r>
      <w:r w:rsidR="00904E55">
        <w:rPr>
          <w:rStyle w:val="Voetnootmarkering"/>
        </w:rPr>
        <w:footnoteReference w:id="91"/>
      </w:r>
    </w:p>
    <w:p w:rsidR="00FA6667" w:rsidRDefault="00D82D79" w:rsidP="00B941CA">
      <w:pPr>
        <w:pStyle w:val="Lijstalinea"/>
        <w:numPr>
          <w:ilvl w:val="0"/>
          <w:numId w:val="3"/>
        </w:numPr>
        <w:spacing w:line="276" w:lineRule="auto"/>
      </w:pPr>
      <w:bookmarkStart w:id="15" w:name="_Ref531339601"/>
      <w:r w:rsidRPr="00B941CA">
        <w:rPr>
          <w:i/>
        </w:rPr>
        <w:t xml:space="preserve">Het </w:t>
      </w:r>
      <w:r w:rsidR="00240AAA">
        <w:rPr>
          <w:i/>
        </w:rPr>
        <w:t>‘T</w:t>
      </w:r>
      <w:r w:rsidRPr="00B941CA">
        <w:rPr>
          <w:i/>
        </w:rPr>
        <w:t>ransversaal KB</w:t>
      </w:r>
      <w:r w:rsidR="00240AAA">
        <w:rPr>
          <w:i/>
        </w:rPr>
        <w:t>’</w:t>
      </w:r>
      <w:r w:rsidR="00FA6667">
        <w:t xml:space="preserve"> </w:t>
      </w:r>
      <w:r w:rsidR="00FA6667" w:rsidRPr="00643C19">
        <w:t>‒</w:t>
      </w:r>
      <w:r w:rsidR="00FA6667">
        <w:t xml:space="preserve"> </w:t>
      </w:r>
      <w:r w:rsidR="00E50B27">
        <w:t>Met het KB van 25 april 2014</w:t>
      </w:r>
      <w:r w:rsidR="00E50B27">
        <w:rPr>
          <w:rStyle w:val="Voetnootmarkering"/>
        </w:rPr>
        <w:footnoteReference w:id="92"/>
      </w:r>
      <w:r w:rsidR="00E50B27">
        <w:t xml:space="preserve"> </w:t>
      </w:r>
      <w:r w:rsidR="001A6CC6">
        <w:t>wou d</w:t>
      </w:r>
      <w:r w:rsidR="00E50B27">
        <w:t xml:space="preserve">e besluitgever </w:t>
      </w:r>
      <w:r w:rsidR="005E31CA">
        <w:t>de verstrekking van</w:t>
      </w:r>
      <w:r w:rsidR="001A6CC6">
        <w:t xml:space="preserve"> informatie</w:t>
      </w:r>
      <w:r w:rsidR="0007006A">
        <w:softHyphen/>
      </w:r>
      <w:r w:rsidR="001A6CC6">
        <w:t>fiches</w:t>
      </w:r>
      <w:r w:rsidR="00E03D93">
        <w:t xml:space="preserve"> </w:t>
      </w:r>
      <w:r w:rsidR="001A6CC6">
        <w:t>inv</w:t>
      </w:r>
      <w:r w:rsidR="00E50B27">
        <w:t xml:space="preserve">oeren </w:t>
      </w:r>
      <w:r w:rsidR="001A6CC6">
        <w:t xml:space="preserve">en de reclame reguleren </w:t>
      </w:r>
      <w:r w:rsidR="00E50B27">
        <w:t>voor</w:t>
      </w:r>
      <w:r w:rsidR="00420B2B">
        <w:t xml:space="preserve"> de commercialisering van</w:t>
      </w:r>
      <w:r w:rsidR="00E50B27">
        <w:t xml:space="preserve"> </w:t>
      </w:r>
      <w:r w:rsidR="00E50B27" w:rsidRPr="00B941CA">
        <w:rPr>
          <w:i/>
        </w:rPr>
        <w:t>alle</w:t>
      </w:r>
      <w:r w:rsidR="00E50B27">
        <w:t xml:space="preserve"> financiële producten </w:t>
      </w:r>
      <w:r w:rsidR="00420B2B">
        <w:t>aan niet-profes</w:t>
      </w:r>
      <w:r w:rsidR="0007006A">
        <w:softHyphen/>
      </w:r>
      <w:r w:rsidR="00420B2B">
        <w:t>sionele cliënten</w:t>
      </w:r>
      <w:r w:rsidR="00E03D93">
        <w:t>.</w:t>
      </w:r>
      <w:r w:rsidR="00420B2B">
        <w:t xml:space="preserve"> </w:t>
      </w:r>
      <w:r w:rsidR="00E03D93">
        <w:t>Hier</w:t>
      </w:r>
      <w:r w:rsidR="00E50B27">
        <w:t>door</w:t>
      </w:r>
      <w:r w:rsidR="00E03D93">
        <w:t xml:space="preserve"> heeft</w:t>
      </w:r>
      <w:r w:rsidR="00E50B27">
        <w:t xml:space="preserve"> het KB</w:t>
      </w:r>
      <w:r w:rsidR="00E03D93">
        <w:t xml:space="preserve"> een</w:t>
      </w:r>
      <w:r w:rsidR="00E50B27">
        <w:t xml:space="preserve"> ‘transversa</w:t>
      </w:r>
      <w:r w:rsidR="00E03D93">
        <w:t>le</w:t>
      </w:r>
      <w:r w:rsidR="00E50B27">
        <w:t>’ werk</w:t>
      </w:r>
      <w:r w:rsidR="00E03D93">
        <w:t>ing</w:t>
      </w:r>
      <w:r w:rsidR="00240AAA">
        <w:t xml:space="preserve"> (‘Transversaal KB’</w:t>
      </w:r>
      <w:r w:rsidR="00BF6768">
        <w:rPr>
          <w:rStyle w:val="Voetnootmarkering"/>
        </w:rPr>
        <w:footnoteReference w:id="93"/>
      </w:r>
      <w:r w:rsidR="00240AAA">
        <w:t>)</w:t>
      </w:r>
      <w:r w:rsidR="00E50B27">
        <w:t xml:space="preserve">. </w:t>
      </w:r>
      <w:r w:rsidR="009B2898">
        <w:t>Enkel het onderdeel dat informatiefiches invoert is gebaseerd op artikel 30</w:t>
      </w:r>
      <w:r w:rsidR="009B2898" w:rsidRPr="00B941CA">
        <w:rPr>
          <w:i/>
        </w:rPr>
        <w:t>bis</w:t>
      </w:r>
      <w:r w:rsidR="00240AAA">
        <w:t>, eerste lid, 2° WFT.</w:t>
      </w:r>
      <w:r w:rsidR="009B2898">
        <w:t xml:space="preserve"> </w:t>
      </w:r>
      <w:r w:rsidR="00240AAA">
        <w:t>D</w:t>
      </w:r>
      <w:r w:rsidR="009B2898">
        <w:t>e vereisten die gelden voor reclame vinden namelijk hun grondslag in verscheidene</w:t>
      </w:r>
      <w:r w:rsidR="00A57AF4">
        <w:t>, andere</w:t>
      </w:r>
      <w:r w:rsidR="009B2898">
        <w:t xml:space="preserve"> sectorale wetten.</w:t>
      </w:r>
      <w:r w:rsidR="009B2898">
        <w:rPr>
          <w:rStyle w:val="Voetnootmarkering"/>
        </w:rPr>
        <w:footnoteReference w:id="94"/>
      </w:r>
      <w:r w:rsidR="009B2898">
        <w:t xml:space="preserve"> </w:t>
      </w:r>
      <w:r w:rsidR="00B941CA">
        <w:t xml:space="preserve">Op </w:t>
      </w:r>
      <w:r w:rsidR="00A57AF4">
        <w:t>het</w:t>
      </w:r>
      <w:r w:rsidR="00B941CA">
        <w:t xml:space="preserve">zelfde moment als het </w:t>
      </w:r>
      <w:r w:rsidR="00240AAA">
        <w:t>T</w:t>
      </w:r>
      <w:r w:rsidR="00B941CA">
        <w:t>ransver</w:t>
      </w:r>
      <w:r w:rsidR="0007006A">
        <w:softHyphen/>
      </w:r>
      <w:r w:rsidR="00B941CA">
        <w:t>saal KB verscheen een tweede KB</w:t>
      </w:r>
      <w:r w:rsidR="00A57AF4">
        <w:rPr>
          <w:rStyle w:val="Voetnootmarkering"/>
        </w:rPr>
        <w:footnoteReference w:id="95"/>
      </w:r>
      <w:r w:rsidR="00B941CA">
        <w:t xml:space="preserve"> dat het reglement van de FSMA goedkeurde met de technische vereisten van het risicolabel.</w:t>
      </w:r>
      <w:r w:rsidR="00A57AF4">
        <w:t xml:space="preserve"> Dergelijke labels moe</w:t>
      </w:r>
      <w:r w:rsidR="00D07522">
        <w:t>s</w:t>
      </w:r>
      <w:r w:rsidR="00A57AF4">
        <w:t xml:space="preserve">ten immers zowel bij de informatiefiche als de reclame worden </w:t>
      </w:r>
      <w:r w:rsidR="00E827D6">
        <w:t>aangebracht</w:t>
      </w:r>
      <w:r w:rsidR="00A57AF4">
        <w:t>.</w:t>
      </w:r>
      <w:r w:rsidR="008437FF">
        <w:t xml:space="preserve"> De labels waren geïnspireerd op de energielabels met het gebruik van </w:t>
      </w:r>
      <w:r w:rsidR="00240AAA">
        <w:t>een kleur en score</w:t>
      </w:r>
      <w:r w:rsidR="008437FF">
        <w:t xml:space="preserve"> om de risico’s aan te duiden.</w:t>
      </w:r>
      <w:r w:rsidR="00A57AF4">
        <w:rPr>
          <w:rStyle w:val="Voetnootmarkering"/>
        </w:rPr>
        <w:footnoteReference w:id="96"/>
      </w:r>
      <w:r w:rsidR="00B941CA">
        <w:t xml:space="preserve"> Dit reglement dient </w:t>
      </w:r>
      <w:r w:rsidR="00A57AF4">
        <w:t xml:space="preserve">aldus </w:t>
      </w:r>
      <w:r w:rsidR="00B941CA">
        <w:t xml:space="preserve">samen te worden gelezen met het </w:t>
      </w:r>
      <w:r w:rsidR="00240AAA">
        <w:t>T</w:t>
      </w:r>
      <w:r w:rsidR="00B941CA">
        <w:t xml:space="preserve">ransversaal KB </w:t>
      </w:r>
      <w:r w:rsidR="00A57AF4">
        <w:t xml:space="preserve">en </w:t>
      </w:r>
      <w:r w:rsidR="003B3B27">
        <w:t>de inwerkingtreding hing dan ook af van deze laatste</w:t>
      </w:r>
      <w:r w:rsidR="00B941CA">
        <w:t>.</w:t>
      </w:r>
      <w:r w:rsidR="00B941CA">
        <w:rPr>
          <w:rStyle w:val="Voetnootmarkering"/>
        </w:rPr>
        <w:footnoteReference w:id="97"/>
      </w:r>
      <w:r w:rsidR="00B941CA">
        <w:t xml:space="preserve"> </w:t>
      </w:r>
      <w:r w:rsidR="00386AD9">
        <w:t>Voorts maakt het KB gebruik van de term ‘commercialisering’ waar</w:t>
      </w:r>
      <w:r w:rsidR="009D683F">
        <w:t>van</w:t>
      </w:r>
      <w:r w:rsidR="00386AD9">
        <w:t xml:space="preserve"> de draagwijdte </w:t>
      </w:r>
      <w:r w:rsidR="009D683F">
        <w:t>dezelfde is van artikel 30</w:t>
      </w:r>
      <w:r w:rsidR="009D683F" w:rsidRPr="00B941CA">
        <w:rPr>
          <w:i/>
        </w:rPr>
        <w:t>bis</w:t>
      </w:r>
      <w:r w:rsidR="009D683F">
        <w:t>, tweede lid WFT</w:t>
      </w:r>
      <w:r w:rsidR="00386AD9">
        <w:t>.</w:t>
      </w:r>
      <w:r w:rsidR="009D683F">
        <w:rPr>
          <w:rStyle w:val="Voetnootmarkering"/>
        </w:rPr>
        <w:footnoteReference w:id="98"/>
      </w:r>
      <w:r w:rsidR="00386AD9">
        <w:t xml:space="preserve"> </w:t>
      </w:r>
      <w:r w:rsidR="009D683F">
        <w:t xml:space="preserve">Noch het gebruik of de invulling van dit begrip is m.i. </w:t>
      </w:r>
      <w:r w:rsidR="009D683F">
        <w:lastRenderedPageBreak/>
        <w:t>echter noodzakelijk</w:t>
      </w:r>
      <w:r w:rsidR="00B144FC">
        <w:t xml:space="preserve"> </w:t>
      </w:r>
      <w:r w:rsidR="009D683F">
        <w:t>omdat artikel 30</w:t>
      </w:r>
      <w:r w:rsidR="009D683F" w:rsidRPr="00B941CA">
        <w:rPr>
          <w:i/>
        </w:rPr>
        <w:t>bis</w:t>
      </w:r>
      <w:r w:rsidR="009D683F">
        <w:t xml:space="preserve"> WFT deze term enkel hanteert voor de bevoegdheid tot productinterventie.</w:t>
      </w:r>
      <w:r w:rsidR="00B34D9B">
        <w:t xml:space="preserve"> Een KB gestoeld op artikel 30</w:t>
      </w:r>
      <w:r w:rsidR="00B34D9B" w:rsidRPr="00B941CA">
        <w:rPr>
          <w:i/>
        </w:rPr>
        <w:t>bis</w:t>
      </w:r>
      <w:r w:rsidR="00B34D9B">
        <w:t>, eerste lid</w:t>
      </w:r>
      <w:r w:rsidR="008437FF">
        <w:t>, 2°</w:t>
      </w:r>
      <w:r w:rsidR="00B34D9B">
        <w:t xml:space="preserve"> WFT kan met andere woorden de term commercialisering al dan niet gebruiken en daar gerust een andere invulling aan geven. Gelet op het feit dat </w:t>
      </w:r>
      <w:r w:rsidR="00FB2E31">
        <w:t>het Transversaal KB de</w:t>
      </w:r>
      <w:r w:rsidR="00B34D9B">
        <w:t xml:space="preserve"> invulling van het becommentarieerde wetsartikel toch </w:t>
      </w:r>
      <w:r w:rsidR="00FB2E31">
        <w:t xml:space="preserve">heeft </w:t>
      </w:r>
      <w:r w:rsidR="00B34D9B">
        <w:t xml:space="preserve">overgenomen, </w:t>
      </w:r>
      <w:r w:rsidR="00E827D6">
        <w:t>was</w:t>
      </w:r>
      <w:r w:rsidR="00FB2E31">
        <w:t xml:space="preserve"> ook hier</w:t>
      </w:r>
      <w:r w:rsidR="00B34D9B">
        <w:t xml:space="preserve"> het KB</w:t>
      </w:r>
      <w:r w:rsidR="00DB2BF1">
        <w:t xml:space="preserve"> </w:t>
      </w:r>
      <w:r w:rsidR="00B34D9B">
        <w:t>niet van t</w:t>
      </w:r>
      <w:r w:rsidR="00FB2E31">
        <w:t xml:space="preserve">oepassing </w:t>
      </w:r>
      <w:r w:rsidR="00DB2BF1">
        <w:t>op ver</w:t>
      </w:r>
      <w:r w:rsidR="0007006A">
        <w:softHyphen/>
      </w:r>
      <w:r w:rsidR="00DB2BF1">
        <w:t>mogensbeheer (</w:t>
      </w:r>
      <w:r w:rsidR="00DB2BF1" w:rsidRPr="00D445CB">
        <w:rPr>
          <w:i/>
        </w:rPr>
        <w:t>supra</w:t>
      </w:r>
      <w:r w:rsidR="00DB2BF1">
        <w:t xml:space="preserve"> </w:t>
      </w:r>
      <w:r w:rsidR="00D445CB">
        <w:fldChar w:fldCharType="begin"/>
      </w:r>
      <w:r w:rsidR="00D445CB">
        <w:instrText xml:space="preserve"> PAGEREF _Ref531339411 \h </w:instrText>
      </w:r>
      <w:r w:rsidR="00D445CB">
        <w:fldChar w:fldCharType="separate"/>
      </w:r>
      <w:r w:rsidR="00882805">
        <w:rPr>
          <w:noProof/>
        </w:rPr>
        <w:t>8</w:t>
      </w:r>
      <w:r w:rsidR="00D445CB">
        <w:fldChar w:fldCharType="end"/>
      </w:r>
      <w:r w:rsidR="00D445CB">
        <w:t xml:space="preserve">, </w:t>
      </w:r>
      <w:r w:rsidR="00DB2BF1">
        <w:t xml:space="preserve">nr. </w:t>
      </w:r>
      <w:r w:rsidR="00D445CB">
        <w:fldChar w:fldCharType="begin"/>
      </w:r>
      <w:r w:rsidR="00D445CB">
        <w:instrText xml:space="preserve"> REF _Ref531339411 \r \h </w:instrText>
      </w:r>
      <w:r w:rsidR="00D445CB">
        <w:fldChar w:fldCharType="separate"/>
      </w:r>
      <w:r w:rsidR="00882805">
        <w:t>10</w:t>
      </w:r>
      <w:r w:rsidR="00D445CB">
        <w:fldChar w:fldCharType="end"/>
      </w:r>
      <w:r w:rsidR="00DB2BF1">
        <w:t>).</w:t>
      </w:r>
      <w:r w:rsidR="00DB2BF1">
        <w:rPr>
          <w:rStyle w:val="Voetnootmarkering"/>
        </w:rPr>
        <w:footnoteReference w:id="99"/>
      </w:r>
      <w:bookmarkEnd w:id="15"/>
    </w:p>
    <w:p w:rsidR="00B941CA" w:rsidRDefault="00D34A49" w:rsidP="00B941CA">
      <w:pPr>
        <w:pStyle w:val="Lijstalinea"/>
        <w:numPr>
          <w:ilvl w:val="0"/>
          <w:numId w:val="3"/>
        </w:numPr>
        <w:spacing w:line="276" w:lineRule="auto"/>
      </w:pPr>
      <w:r w:rsidRPr="00D34A49">
        <w:rPr>
          <w:i/>
        </w:rPr>
        <w:t>Verhouding tot de Europeesrechtelijke regimes</w:t>
      </w:r>
      <w:r>
        <w:t xml:space="preserve"> </w:t>
      </w:r>
      <w:r w:rsidRPr="00643C19">
        <w:t>‒</w:t>
      </w:r>
      <w:r>
        <w:t xml:space="preserve"> Bij de publicatie van beide KB’s was de PRIIPS-verord</w:t>
      </w:r>
      <w:r w:rsidR="00FB2E31">
        <w:t>ening in volle voorbereiding die</w:t>
      </w:r>
      <w:r>
        <w:t xml:space="preserve"> een gelijkaardig </w:t>
      </w:r>
      <w:r w:rsidR="00FB2E31">
        <w:t>systeem</w:t>
      </w:r>
      <w:r>
        <w:t xml:space="preserve"> van essentiële informatieverstrekking wou invoeren</w:t>
      </w:r>
      <w:r w:rsidR="00FB2E31">
        <w:t>. Dit in</w:t>
      </w:r>
      <w:r w:rsidR="0007006A">
        <w:softHyphen/>
      </w:r>
      <w:r w:rsidR="00FB2E31">
        <w:t>strument beperkte zich echter tot</w:t>
      </w:r>
      <w:r>
        <w:t xml:space="preserve"> zogenaamde verpakte retai</w:t>
      </w:r>
      <w:r w:rsidR="00517FE7">
        <w:t>l</w:t>
      </w:r>
      <w:r w:rsidR="00517FE7">
        <w:rPr>
          <w:rStyle w:val="Voetnootmarkering"/>
        </w:rPr>
        <w:footnoteReference w:id="100"/>
      </w:r>
      <w:r>
        <w:t>- en verzekeringsgebaseerde</w:t>
      </w:r>
      <w:r w:rsidR="00517FE7">
        <w:rPr>
          <w:rStyle w:val="Voetnootmarkering"/>
        </w:rPr>
        <w:footnoteReference w:id="101"/>
      </w:r>
      <w:r>
        <w:t xml:space="preserve"> beleggingspro</w:t>
      </w:r>
      <w:r w:rsidR="0007006A">
        <w:softHyphen/>
      </w:r>
      <w:r>
        <w:t>ducten.</w:t>
      </w:r>
      <w:r>
        <w:rPr>
          <w:rStyle w:val="Voetnootmarkering"/>
        </w:rPr>
        <w:footnoteReference w:id="102"/>
      </w:r>
      <w:r w:rsidR="00240AAA">
        <w:t xml:space="preserve"> Het T</w:t>
      </w:r>
      <w:r>
        <w:t>ransversaal KB was op dit initiatief geïnspireerd</w:t>
      </w:r>
      <w:r>
        <w:rPr>
          <w:rStyle w:val="Voetnootmarkering"/>
        </w:rPr>
        <w:footnoteReference w:id="103"/>
      </w:r>
      <w:r>
        <w:t xml:space="preserve"> en liep aldus vooruit op de Europese regelge</w:t>
      </w:r>
      <w:r w:rsidR="0007006A">
        <w:softHyphen/>
      </w:r>
      <w:r>
        <w:t>ving</w:t>
      </w:r>
      <w:r w:rsidR="00072A29">
        <w:t xml:space="preserve">. </w:t>
      </w:r>
      <w:r w:rsidR="007E75B0">
        <w:t xml:space="preserve">De inwerkingtreding was </w:t>
      </w:r>
      <w:r w:rsidR="00B646A7">
        <w:t xml:space="preserve">daarom </w:t>
      </w:r>
      <w:r w:rsidR="007E75B0">
        <w:t>pas voorzien op 12 juni 2015, maar met het KB van 2 juni 2015</w:t>
      </w:r>
      <w:r w:rsidR="00072A29">
        <w:t xml:space="preserve"> werd</w:t>
      </w:r>
      <w:r>
        <w:t xml:space="preserve"> </w:t>
      </w:r>
      <w:r w:rsidR="007E75B0">
        <w:t>dit</w:t>
      </w:r>
      <w:r>
        <w:t xml:space="preserve"> uitgesteld</w:t>
      </w:r>
      <w:r w:rsidR="00043842">
        <w:t xml:space="preserve"> wat betreft de bepalingen inzake informatiefiches. Er </w:t>
      </w:r>
      <w:r w:rsidR="0015142A">
        <w:t>bestond</w:t>
      </w:r>
      <w:r w:rsidR="00043842">
        <w:t xml:space="preserve"> immers nog onzekerheid </w:t>
      </w:r>
      <w:r w:rsidR="00FB2E31">
        <w:t>over</w:t>
      </w:r>
      <w:r w:rsidR="00043842">
        <w:t xml:space="preserve"> mogelijke conflicten met de PRIIPS-verordening</w:t>
      </w:r>
      <w:r w:rsidR="00D3024C">
        <w:t xml:space="preserve"> die </w:t>
      </w:r>
      <w:r w:rsidR="008A738C">
        <w:t>nog steeds in ontwikkeling was</w:t>
      </w:r>
      <w:r>
        <w:t>.</w:t>
      </w:r>
      <w:r>
        <w:rPr>
          <w:rStyle w:val="Voetnootmarkering"/>
        </w:rPr>
        <w:footnoteReference w:id="104"/>
      </w:r>
      <w:r>
        <w:t xml:space="preserve"> </w:t>
      </w:r>
      <w:r w:rsidR="00D3024C">
        <w:t xml:space="preserve">Wanneer de PRIIPS-verordening en haar gedelegeerde verordening zo goed als voltooid waren, </w:t>
      </w:r>
      <w:r w:rsidR="00334C66">
        <w:t>vond</w:t>
      </w:r>
      <w:r w:rsidR="00D3024C">
        <w:t xml:space="preserve"> een tweede</w:t>
      </w:r>
      <w:r w:rsidR="00334C66">
        <w:t xml:space="preserve"> wijziging plaats met het</w:t>
      </w:r>
      <w:r w:rsidR="00D3024C">
        <w:t xml:space="preserve"> KB van </w:t>
      </w:r>
      <w:r w:rsidR="002714A0">
        <w:t>25 december 2017</w:t>
      </w:r>
      <w:r w:rsidR="00043842">
        <w:t>.</w:t>
      </w:r>
      <w:r w:rsidR="002714A0">
        <w:t xml:space="preserve"> De</w:t>
      </w:r>
      <w:r w:rsidR="00FB2E31">
        <w:t>ze</w:t>
      </w:r>
      <w:r w:rsidR="002714A0">
        <w:t xml:space="preserve"> </w:t>
      </w:r>
      <w:r w:rsidR="00FB2E31">
        <w:t xml:space="preserve">laatste schafte de </w:t>
      </w:r>
      <w:r w:rsidR="002714A0">
        <w:t xml:space="preserve">verplichtingen inzake de informatiefiches volledig </w:t>
      </w:r>
      <w:r w:rsidR="00FB2E31">
        <w:t>af</w:t>
      </w:r>
      <w:r w:rsidR="002714A0">
        <w:t xml:space="preserve"> omwille van strij</w:t>
      </w:r>
      <w:r w:rsidR="0007006A">
        <w:softHyphen/>
      </w:r>
      <w:r w:rsidR="002714A0">
        <w:t xml:space="preserve">digheid met </w:t>
      </w:r>
      <w:r w:rsidR="0017485D">
        <w:t>het</w:t>
      </w:r>
      <w:r w:rsidR="00FB2E31">
        <w:t xml:space="preserve"> maximale</w:t>
      </w:r>
      <w:r w:rsidR="002714A0">
        <w:t xml:space="preserve"> harmoniserende </w:t>
      </w:r>
      <w:r w:rsidR="008A738C">
        <w:t>karakter</w:t>
      </w:r>
      <w:r w:rsidR="002714A0">
        <w:t xml:space="preserve"> van de PRIIPS-verordening.</w:t>
      </w:r>
      <w:r w:rsidR="00841CAE">
        <w:t xml:space="preserve"> De reglementering inzake re</w:t>
      </w:r>
      <w:r w:rsidR="0007006A">
        <w:softHyphen/>
      </w:r>
      <w:r w:rsidR="00841CAE">
        <w:t>clame</w:t>
      </w:r>
      <w:r w:rsidR="00841CAE">
        <w:rPr>
          <w:rStyle w:val="Voetnootmarkering"/>
        </w:rPr>
        <w:footnoteReference w:id="105"/>
      </w:r>
      <w:r w:rsidR="00841CAE">
        <w:t xml:space="preserve"> </w:t>
      </w:r>
      <w:r w:rsidR="0035342D">
        <w:t>bleef daarentegen wel overeind</w:t>
      </w:r>
      <w:r w:rsidR="00841CAE">
        <w:t>.</w:t>
      </w:r>
      <w:r w:rsidR="002714A0">
        <w:rPr>
          <w:rStyle w:val="Voetnootmarkering"/>
        </w:rPr>
        <w:footnoteReference w:id="106"/>
      </w:r>
      <w:r w:rsidR="00043842">
        <w:t xml:space="preserve"> </w:t>
      </w:r>
      <w:r w:rsidR="0017485D">
        <w:t xml:space="preserve">Deze voorgeschiedenis van het </w:t>
      </w:r>
      <w:r w:rsidR="00240AAA">
        <w:t>T</w:t>
      </w:r>
      <w:r w:rsidR="0017485D">
        <w:t>ransversaal KB maakt de ontbrekende verwijzing in artikel 30</w:t>
      </w:r>
      <w:r w:rsidR="0017485D" w:rsidRPr="00D445CB">
        <w:rPr>
          <w:i/>
        </w:rPr>
        <w:t>bis</w:t>
      </w:r>
      <w:r w:rsidR="0017485D">
        <w:t xml:space="preserve"> WFT naar de PRIIPS-verordening des te merkwaardiger</w:t>
      </w:r>
      <w:r w:rsidR="00712B40">
        <w:t xml:space="preserve"> en </w:t>
      </w:r>
      <w:r w:rsidR="008A738C">
        <w:t>benadrukt de noodzaak tot aanpassing</w:t>
      </w:r>
      <w:r w:rsidR="00B40AF8">
        <w:t xml:space="preserve"> van dit wetsartikel</w:t>
      </w:r>
      <w:r w:rsidR="008A738C">
        <w:t xml:space="preserve"> (</w:t>
      </w:r>
      <w:r w:rsidR="008A738C" w:rsidRPr="00387268">
        <w:rPr>
          <w:i/>
        </w:rPr>
        <w:t>supra</w:t>
      </w:r>
      <w:r w:rsidR="00B57C2E">
        <w:t xml:space="preserve"> </w:t>
      </w:r>
      <w:r w:rsidR="00B57C2E">
        <w:fldChar w:fldCharType="begin"/>
      </w:r>
      <w:r w:rsidR="00B57C2E">
        <w:instrText xml:space="preserve"> PAGEREF _Ref531339298 \h </w:instrText>
      </w:r>
      <w:r w:rsidR="00B57C2E">
        <w:fldChar w:fldCharType="separate"/>
      </w:r>
      <w:r w:rsidR="00B57C2E">
        <w:rPr>
          <w:noProof/>
        </w:rPr>
        <w:t>6</w:t>
      </w:r>
      <w:r w:rsidR="00B57C2E">
        <w:fldChar w:fldCharType="end"/>
      </w:r>
      <w:r w:rsidR="00D445CB">
        <w:t xml:space="preserve">, </w:t>
      </w:r>
      <w:r w:rsidR="008A738C">
        <w:t xml:space="preserve">nr. </w:t>
      </w:r>
      <w:r w:rsidR="00D445CB">
        <w:fldChar w:fldCharType="begin"/>
      </w:r>
      <w:r w:rsidR="00D445CB">
        <w:instrText xml:space="preserve"> REF _Ref531339298 \r \h </w:instrText>
      </w:r>
      <w:r w:rsidR="00D445CB">
        <w:fldChar w:fldCharType="separate"/>
      </w:r>
      <w:r w:rsidR="00882805">
        <w:t>5</w:t>
      </w:r>
      <w:r w:rsidR="00D445CB">
        <w:fldChar w:fldCharType="end"/>
      </w:r>
      <w:r w:rsidR="008A738C">
        <w:t>)</w:t>
      </w:r>
      <w:r w:rsidR="00712B40">
        <w:t>.</w:t>
      </w:r>
    </w:p>
    <w:p w:rsidR="009A7CBF" w:rsidRPr="008237B8" w:rsidRDefault="009A7CBF" w:rsidP="009A7CBF">
      <w:pPr>
        <w:spacing w:line="276" w:lineRule="auto"/>
      </w:pPr>
      <w:r>
        <w:t xml:space="preserve">Ook met de MiFIR-verordening lijkt een strijdigheid van deze tweede bevoegdheid overigens mogelijk. </w:t>
      </w:r>
      <w:r w:rsidR="008237B8">
        <w:t>H</w:t>
      </w:r>
      <w:r>
        <w:t xml:space="preserve">et CFD-besluit van de ESMA </w:t>
      </w:r>
      <w:r w:rsidR="008237B8">
        <w:t>legde bijvoorbeeld</w:t>
      </w:r>
      <w:r>
        <w:t xml:space="preserve"> </w:t>
      </w:r>
      <w:r w:rsidR="00BD5637">
        <w:t xml:space="preserve">de weergave van </w:t>
      </w:r>
      <w:r>
        <w:t xml:space="preserve">een gestandaardiseerde risico-waarschuwing </w:t>
      </w:r>
      <w:r w:rsidR="008237B8">
        <w:t>op aan</w:t>
      </w:r>
      <w:r w:rsidR="00B26D3D">
        <w:t xml:space="preserve"> alle aanbieders van</w:t>
      </w:r>
      <w:r>
        <w:t xml:space="preserve"> </w:t>
      </w:r>
      <w:r w:rsidR="00BD5637">
        <w:t>dit</w:t>
      </w:r>
      <w:r>
        <w:t xml:space="preserve"> financ</w:t>
      </w:r>
      <w:r w:rsidR="008237B8">
        <w:t>ieel product</w:t>
      </w:r>
      <w:r>
        <w:t>.</w:t>
      </w:r>
      <w:r>
        <w:rPr>
          <w:rStyle w:val="Voetnootmarkering"/>
        </w:rPr>
        <w:footnoteReference w:id="107"/>
      </w:r>
      <w:r w:rsidR="008237B8">
        <w:t xml:space="preserve"> De ESMA kan met andere woorden haar bevoegdheid tot productinter</w:t>
      </w:r>
      <w:r w:rsidR="0007006A">
        <w:softHyphen/>
      </w:r>
      <w:r w:rsidR="008237B8">
        <w:t xml:space="preserve">ventie op die wijze interpreteren </w:t>
      </w:r>
      <w:r w:rsidR="00B26D3D">
        <w:t>zo</w:t>
      </w:r>
      <w:r w:rsidR="008237B8">
        <w:t xml:space="preserve">dat </w:t>
      </w:r>
      <w:r w:rsidR="004D2E58">
        <w:t>ze</w:t>
      </w:r>
      <w:r w:rsidR="008237B8">
        <w:t xml:space="preserve"> </w:t>
      </w:r>
      <w:r w:rsidR="003337B1">
        <w:t xml:space="preserve">in </w:t>
      </w:r>
      <w:r w:rsidR="008237B8">
        <w:t>een maatregel voorziet die de transparantie bevordert. Ook de pro</w:t>
      </w:r>
      <w:r w:rsidR="0007006A">
        <w:softHyphen/>
      </w:r>
      <w:r w:rsidR="008237B8">
        <w:t>ductinterventiebevoegdheid van artikel 30</w:t>
      </w:r>
      <w:r w:rsidR="008237B8">
        <w:rPr>
          <w:i/>
        </w:rPr>
        <w:t>bis</w:t>
      </w:r>
      <w:r w:rsidR="008237B8">
        <w:t xml:space="preserve">, eerste lid, 1° WFT bevat m.i. </w:t>
      </w:r>
      <w:r w:rsidR="003337B1">
        <w:t>dergelijke</w:t>
      </w:r>
      <w:r w:rsidR="008237B8">
        <w:t xml:space="preserve"> mogelijkheid doordat de FSMA “</w:t>
      </w:r>
      <w:r w:rsidR="008237B8" w:rsidRPr="00B26D3D">
        <w:rPr>
          <w:i/>
        </w:rPr>
        <w:t>beperkende voorwaarden</w:t>
      </w:r>
      <w:r w:rsidR="008237B8">
        <w:t>” kan opleggen.</w:t>
      </w:r>
      <w:r w:rsidR="00334C66">
        <w:t xml:space="preserve"> Dit is een vage omschrijving die ruimte laat voor transparantie</w:t>
      </w:r>
      <w:r w:rsidR="0007006A">
        <w:softHyphen/>
      </w:r>
      <w:r w:rsidR="00334C66">
        <w:t>bevorderende maatregelen.</w:t>
      </w:r>
      <w:r w:rsidR="008237B8">
        <w:t xml:space="preserve"> Toch is de tweede bevoegdheid van het becommentarieerde we</w:t>
      </w:r>
      <w:r w:rsidR="00334C66">
        <w:t>tsartikel daarom niet overbodig:</w:t>
      </w:r>
      <w:r w:rsidR="008237B8">
        <w:t xml:space="preserve"> het toepassingsgebied van deze laatste is immers niet noodzakelijk beperkt tot situaties van ‘commer</w:t>
      </w:r>
      <w:r w:rsidR="0007006A">
        <w:softHyphen/>
      </w:r>
      <w:r w:rsidR="008237B8">
        <w:t>cialisering’ (</w:t>
      </w:r>
      <w:r w:rsidR="008237B8" w:rsidRPr="00387268">
        <w:rPr>
          <w:i/>
        </w:rPr>
        <w:t>supra</w:t>
      </w:r>
      <w:r w:rsidR="008237B8">
        <w:t xml:space="preserve"> </w:t>
      </w:r>
      <w:r w:rsidR="00D445CB">
        <w:fldChar w:fldCharType="begin"/>
      </w:r>
      <w:r w:rsidR="00D445CB">
        <w:instrText xml:space="preserve"> PAGEREF _Ref531339601 \h </w:instrText>
      </w:r>
      <w:r w:rsidR="00D445CB">
        <w:fldChar w:fldCharType="separate"/>
      </w:r>
      <w:r w:rsidR="00882805">
        <w:rPr>
          <w:noProof/>
        </w:rPr>
        <w:t>14</w:t>
      </w:r>
      <w:r w:rsidR="00D445CB">
        <w:fldChar w:fldCharType="end"/>
      </w:r>
      <w:r w:rsidR="00D445CB">
        <w:t xml:space="preserve">, </w:t>
      </w:r>
      <w:r w:rsidR="00387268">
        <w:t xml:space="preserve">nr. </w:t>
      </w:r>
      <w:r w:rsidR="00D445CB">
        <w:fldChar w:fldCharType="begin"/>
      </w:r>
      <w:r w:rsidR="00D445CB">
        <w:instrText xml:space="preserve"> REF _Ref531339601 \r \h </w:instrText>
      </w:r>
      <w:r w:rsidR="00D445CB">
        <w:fldChar w:fldCharType="separate"/>
      </w:r>
      <w:r w:rsidR="00882805">
        <w:t>21</w:t>
      </w:r>
      <w:r w:rsidR="00D445CB">
        <w:fldChar w:fldCharType="end"/>
      </w:r>
      <w:r w:rsidR="008237B8">
        <w:t>)</w:t>
      </w:r>
      <w:r w:rsidR="00BD5637">
        <w:t>,</w:t>
      </w:r>
      <w:r w:rsidR="008237B8">
        <w:t xml:space="preserve"> noch t</w:t>
      </w:r>
      <w:r w:rsidR="00ED25BB">
        <w:t>ot de groep van niet-professionele beleggers</w:t>
      </w:r>
      <w:r w:rsidR="008237B8">
        <w:t xml:space="preserve"> (</w:t>
      </w:r>
      <w:r w:rsidR="008237B8" w:rsidRPr="00387268">
        <w:rPr>
          <w:i/>
        </w:rPr>
        <w:t>supra</w:t>
      </w:r>
      <w:r w:rsidR="008237B8">
        <w:t xml:space="preserve"> </w:t>
      </w:r>
      <w:r w:rsidR="00AB3FBE">
        <w:fldChar w:fldCharType="begin"/>
      </w:r>
      <w:r w:rsidR="00AB3FBE">
        <w:instrText xml:space="preserve"> PAGEREF _Ref531339627 \h </w:instrText>
      </w:r>
      <w:r w:rsidR="00AB3FBE">
        <w:fldChar w:fldCharType="separate"/>
      </w:r>
      <w:r w:rsidR="00882805">
        <w:rPr>
          <w:noProof/>
        </w:rPr>
        <w:t>5</w:t>
      </w:r>
      <w:r w:rsidR="00AB3FBE">
        <w:fldChar w:fldCharType="end"/>
      </w:r>
      <w:r w:rsidR="00AB3FBE">
        <w:t xml:space="preserve">, </w:t>
      </w:r>
      <w:r w:rsidR="00387268">
        <w:t xml:space="preserve">nr. </w:t>
      </w:r>
      <w:r w:rsidR="00AB3FBE">
        <w:fldChar w:fldCharType="begin"/>
      </w:r>
      <w:r w:rsidR="00AB3FBE">
        <w:instrText xml:space="preserve"> REF _Ref531339627 \r \h </w:instrText>
      </w:r>
      <w:r w:rsidR="00AB3FBE">
        <w:fldChar w:fldCharType="separate"/>
      </w:r>
      <w:r w:rsidR="00882805">
        <w:t>4</w:t>
      </w:r>
      <w:r w:rsidR="00AB3FBE">
        <w:fldChar w:fldCharType="end"/>
      </w:r>
      <w:r w:rsidR="008237B8">
        <w:t>).</w:t>
      </w:r>
    </w:p>
    <w:p w:rsidR="00B646A7" w:rsidRPr="00B646A7" w:rsidRDefault="00913578" w:rsidP="00867248">
      <w:pPr>
        <w:pStyle w:val="Lijstalinea"/>
        <w:numPr>
          <w:ilvl w:val="0"/>
          <w:numId w:val="3"/>
        </w:numPr>
        <w:spacing w:line="276" w:lineRule="auto"/>
        <w:rPr>
          <w:rFonts w:cs="Times New Roman"/>
          <w:szCs w:val="20"/>
        </w:rPr>
      </w:pPr>
      <w:r>
        <w:rPr>
          <w:i/>
        </w:rPr>
        <w:t>Een gemiste kans?</w:t>
      </w:r>
      <w:r w:rsidR="00B646A7">
        <w:t xml:space="preserve"> </w:t>
      </w:r>
      <w:r w:rsidR="00B646A7" w:rsidRPr="00643C19">
        <w:t>‒</w:t>
      </w:r>
      <w:r w:rsidR="00B646A7">
        <w:t xml:space="preserve"> </w:t>
      </w:r>
      <w:r w:rsidR="00B646A7">
        <w:rPr>
          <w:rFonts w:cs="Times New Roman"/>
          <w:szCs w:val="20"/>
        </w:rPr>
        <w:t xml:space="preserve">Ondanks </w:t>
      </w:r>
      <w:r w:rsidR="0017485D">
        <w:rPr>
          <w:rFonts w:cs="Times New Roman"/>
          <w:szCs w:val="20"/>
        </w:rPr>
        <w:t>dit kluwen</w:t>
      </w:r>
      <w:r w:rsidR="00B646A7">
        <w:rPr>
          <w:rFonts w:cs="Times New Roman"/>
          <w:szCs w:val="20"/>
        </w:rPr>
        <w:t xml:space="preserve"> van uitgestelde inwerkingtredingen en aanpassingen, moet het initi</w:t>
      </w:r>
      <w:r w:rsidR="0007006A">
        <w:rPr>
          <w:rFonts w:cs="Times New Roman"/>
          <w:szCs w:val="20"/>
        </w:rPr>
        <w:softHyphen/>
      </w:r>
      <w:r w:rsidR="00B646A7">
        <w:rPr>
          <w:rFonts w:cs="Times New Roman"/>
          <w:szCs w:val="20"/>
        </w:rPr>
        <w:t xml:space="preserve">atief van het </w:t>
      </w:r>
      <w:r w:rsidR="00240AAA">
        <w:rPr>
          <w:rFonts w:cs="Times New Roman"/>
          <w:szCs w:val="20"/>
        </w:rPr>
        <w:t>T</w:t>
      </w:r>
      <w:r w:rsidR="00B646A7">
        <w:rPr>
          <w:rFonts w:cs="Times New Roman"/>
          <w:szCs w:val="20"/>
        </w:rPr>
        <w:t>ransversaal KB</w:t>
      </w:r>
      <w:r w:rsidR="0017485D">
        <w:rPr>
          <w:rFonts w:cs="Times New Roman"/>
          <w:szCs w:val="20"/>
        </w:rPr>
        <w:t xml:space="preserve"> wel</w:t>
      </w:r>
      <w:r w:rsidR="00B646A7">
        <w:rPr>
          <w:rFonts w:cs="Times New Roman"/>
          <w:szCs w:val="20"/>
        </w:rPr>
        <w:t xml:space="preserve"> toegejuicht worden.</w:t>
      </w:r>
      <w:r w:rsidR="0017485D">
        <w:rPr>
          <w:rFonts w:cs="Times New Roman"/>
          <w:szCs w:val="20"/>
        </w:rPr>
        <w:t xml:space="preserve"> Een geformuleerde kritiek op de PRIIPS-verordening is dan ook dat het essentiële informatiedocument niet van toepassing is op alle mogelijke financiële producten.</w:t>
      </w:r>
      <w:bookmarkStart w:id="16" w:name="_Ref531275634"/>
      <w:r w:rsidR="00712B40">
        <w:rPr>
          <w:rStyle w:val="Voetnootmarkering"/>
          <w:rFonts w:cs="Times New Roman"/>
          <w:szCs w:val="20"/>
        </w:rPr>
        <w:footnoteReference w:id="108"/>
      </w:r>
      <w:bookmarkEnd w:id="16"/>
      <w:r w:rsidR="0017485D">
        <w:rPr>
          <w:rFonts w:cs="Times New Roman"/>
          <w:szCs w:val="20"/>
        </w:rPr>
        <w:t xml:space="preserve"> </w:t>
      </w:r>
      <w:r w:rsidR="00ED25BB">
        <w:rPr>
          <w:rFonts w:cs="Times New Roman"/>
          <w:szCs w:val="20"/>
        </w:rPr>
        <w:t>Enkel beleggingsproducten met derivatenwerking en verzekeringsgebaseerde beleggingsproducten vallen onder het toepassingsgebied van PRIIPS.</w:t>
      </w:r>
      <w:r w:rsidR="00ED25BB">
        <w:rPr>
          <w:rStyle w:val="Voetnootmarkering"/>
          <w:rFonts w:cs="Times New Roman"/>
          <w:szCs w:val="20"/>
        </w:rPr>
        <w:footnoteReference w:id="109"/>
      </w:r>
      <w:r w:rsidR="00ED25BB">
        <w:rPr>
          <w:rFonts w:cs="Times New Roman"/>
          <w:szCs w:val="20"/>
        </w:rPr>
        <w:t xml:space="preserve"> Aandelen, spaarproducten en gewone verzekeringen </w:t>
      </w:r>
      <w:r w:rsidR="00B26D3D">
        <w:rPr>
          <w:rFonts w:cs="Times New Roman"/>
          <w:szCs w:val="20"/>
        </w:rPr>
        <w:t xml:space="preserve">bevinden zich </w:t>
      </w:r>
      <w:r w:rsidR="00ED25BB">
        <w:rPr>
          <w:rFonts w:cs="Times New Roman"/>
          <w:szCs w:val="20"/>
        </w:rPr>
        <w:t>daarbui</w:t>
      </w:r>
      <w:r w:rsidR="0007006A">
        <w:rPr>
          <w:rFonts w:cs="Times New Roman"/>
          <w:szCs w:val="20"/>
        </w:rPr>
        <w:softHyphen/>
      </w:r>
      <w:r w:rsidR="00ED25BB">
        <w:rPr>
          <w:rFonts w:cs="Times New Roman"/>
          <w:szCs w:val="20"/>
        </w:rPr>
        <w:t xml:space="preserve">ten. </w:t>
      </w:r>
      <w:r w:rsidR="00A51906">
        <w:rPr>
          <w:rFonts w:cs="Times New Roman"/>
          <w:szCs w:val="20"/>
        </w:rPr>
        <w:t xml:space="preserve">Op Belgisch niveau bestaat evenwel </w:t>
      </w:r>
      <w:r w:rsidR="003337B1">
        <w:rPr>
          <w:rFonts w:cs="Times New Roman"/>
          <w:szCs w:val="20"/>
        </w:rPr>
        <w:t xml:space="preserve">de verplichte verstrekking van </w:t>
      </w:r>
      <w:r w:rsidR="00A51906">
        <w:rPr>
          <w:rFonts w:cs="Times New Roman"/>
          <w:szCs w:val="20"/>
        </w:rPr>
        <w:t xml:space="preserve">een essentieel spaardersdocument voor </w:t>
      </w:r>
      <w:r w:rsidR="00A51906">
        <w:rPr>
          <w:rFonts w:cs="Times New Roman"/>
          <w:szCs w:val="20"/>
        </w:rPr>
        <w:lastRenderedPageBreak/>
        <w:t>gereglementeerde spaarrekeningen</w:t>
      </w:r>
      <w:r w:rsidR="00387268">
        <w:rPr>
          <w:rStyle w:val="Voetnootmarkering"/>
          <w:rFonts w:cs="Times New Roman"/>
          <w:szCs w:val="20"/>
        </w:rPr>
        <w:footnoteReference w:id="110"/>
      </w:r>
      <w:r w:rsidR="00A51906">
        <w:rPr>
          <w:rFonts w:cs="Times New Roman"/>
          <w:szCs w:val="20"/>
        </w:rPr>
        <w:t xml:space="preserve"> en artikel VII.4/1 WER regelt gestandaardiseerde informatieverstrekking voor betalingsdiensten. </w:t>
      </w:r>
      <w:r w:rsidR="003337B1">
        <w:rPr>
          <w:rFonts w:cs="Times New Roman"/>
          <w:szCs w:val="20"/>
        </w:rPr>
        <w:t>Er blijven bijgevolg nog bijzonder weinig financiële producten over die</w:t>
      </w:r>
      <w:r w:rsidR="00A51906">
        <w:rPr>
          <w:rFonts w:cs="Times New Roman"/>
          <w:szCs w:val="20"/>
        </w:rPr>
        <w:t xml:space="preserve"> nog </w:t>
      </w:r>
      <w:r>
        <w:rPr>
          <w:rFonts w:cs="Times New Roman"/>
          <w:szCs w:val="20"/>
        </w:rPr>
        <w:t>niet onder</w:t>
      </w:r>
      <w:r w:rsidR="00A51906">
        <w:rPr>
          <w:rFonts w:cs="Times New Roman"/>
          <w:szCs w:val="20"/>
        </w:rPr>
        <w:t xml:space="preserve"> een regime van gestandaardiseerde essentiële informatieverstrekking</w:t>
      </w:r>
      <w:r w:rsidR="003337B1">
        <w:rPr>
          <w:rFonts w:cs="Times New Roman"/>
          <w:szCs w:val="20"/>
        </w:rPr>
        <w:t xml:space="preserve"> vallen</w:t>
      </w:r>
      <w:r w:rsidR="00A51906">
        <w:rPr>
          <w:rFonts w:cs="Times New Roman"/>
          <w:szCs w:val="20"/>
        </w:rPr>
        <w:t xml:space="preserve">. De critici op de PRIIPS-verordening </w:t>
      </w:r>
      <w:r w:rsidR="00B52246">
        <w:rPr>
          <w:rFonts w:cs="Times New Roman"/>
          <w:szCs w:val="20"/>
        </w:rPr>
        <w:t>plei</w:t>
      </w:r>
      <w:r w:rsidR="0007006A">
        <w:rPr>
          <w:rFonts w:cs="Times New Roman"/>
          <w:szCs w:val="20"/>
        </w:rPr>
        <w:softHyphen/>
      </w:r>
      <w:r w:rsidR="00B52246">
        <w:rPr>
          <w:rFonts w:cs="Times New Roman"/>
          <w:szCs w:val="20"/>
        </w:rPr>
        <w:t>ten</w:t>
      </w:r>
      <w:r w:rsidR="00A51906">
        <w:rPr>
          <w:rFonts w:cs="Times New Roman"/>
          <w:szCs w:val="20"/>
        </w:rPr>
        <w:t xml:space="preserve"> </w:t>
      </w:r>
      <w:r w:rsidR="003337B1">
        <w:rPr>
          <w:rFonts w:cs="Times New Roman"/>
          <w:szCs w:val="20"/>
        </w:rPr>
        <w:t>evenwel</w:t>
      </w:r>
      <w:r w:rsidR="00A51906">
        <w:rPr>
          <w:rFonts w:cs="Times New Roman"/>
          <w:szCs w:val="20"/>
        </w:rPr>
        <w:t xml:space="preserve"> voor </w:t>
      </w:r>
      <w:r w:rsidR="003337B1">
        <w:rPr>
          <w:rFonts w:cs="Times New Roman"/>
          <w:szCs w:val="20"/>
        </w:rPr>
        <w:t xml:space="preserve">de invoering van </w:t>
      </w:r>
      <w:r>
        <w:rPr>
          <w:rFonts w:cs="Times New Roman"/>
          <w:szCs w:val="20"/>
        </w:rPr>
        <w:t>gestandaardiseerde informatiedocumenten</w:t>
      </w:r>
      <w:r w:rsidR="003337B1">
        <w:rPr>
          <w:rFonts w:cs="Times New Roman"/>
          <w:szCs w:val="20"/>
        </w:rPr>
        <w:t xml:space="preserve"> met </w:t>
      </w:r>
      <w:r w:rsidR="0035342D">
        <w:rPr>
          <w:rFonts w:cs="Times New Roman"/>
          <w:szCs w:val="20"/>
        </w:rPr>
        <w:t>een gelijkaardige</w:t>
      </w:r>
      <w:r w:rsidR="003337B1">
        <w:rPr>
          <w:rFonts w:cs="Times New Roman"/>
          <w:szCs w:val="20"/>
        </w:rPr>
        <w:t xml:space="preserve"> </w:t>
      </w:r>
      <w:r w:rsidR="00B52246">
        <w:rPr>
          <w:rFonts w:cs="Times New Roman"/>
          <w:szCs w:val="20"/>
        </w:rPr>
        <w:t>vormgeving</w:t>
      </w:r>
      <w:r w:rsidR="0035342D">
        <w:rPr>
          <w:rFonts w:cs="Times New Roman"/>
          <w:szCs w:val="20"/>
        </w:rPr>
        <w:t xml:space="preserve"> en structuur</w:t>
      </w:r>
      <w:r w:rsidR="00B52246">
        <w:rPr>
          <w:rFonts w:cs="Times New Roman"/>
          <w:szCs w:val="20"/>
        </w:rPr>
        <w:t xml:space="preserve"> </w:t>
      </w:r>
      <w:r>
        <w:rPr>
          <w:rFonts w:cs="Times New Roman"/>
          <w:szCs w:val="20"/>
        </w:rPr>
        <w:t>v</w:t>
      </w:r>
      <w:r w:rsidR="003337B1">
        <w:rPr>
          <w:rFonts w:cs="Times New Roman"/>
          <w:szCs w:val="20"/>
        </w:rPr>
        <w:t>oor</w:t>
      </w:r>
      <w:r>
        <w:rPr>
          <w:rFonts w:cs="Times New Roman"/>
          <w:szCs w:val="20"/>
        </w:rPr>
        <w:t xml:space="preserve"> alle financiële producten.</w:t>
      </w:r>
      <w:r w:rsidR="003337B1">
        <w:rPr>
          <w:rStyle w:val="Voetnootmarkering"/>
          <w:rFonts w:cs="Times New Roman"/>
          <w:szCs w:val="20"/>
        </w:rPr>
        <w:footnoteReference w:id="111"/>
      </w:r>
      <w:r>
        <w:rPr>
          <w:rFonts w:cs="Times New Roman"/>
          <w:szCs w:val="20"/>
        </w:rPr>
        <w:t xml:space="preserve"> Vanuit d</w:t>
      </w:r>
      <w:r w:rsidR="00710669">
        <w:rPr>
          <w:rFonts w:cs="Times New Roman"/>
          <w:szCs w:val="20"/>
        </w:rPr>
        <w:t>i</w:t>
      </w:r>
      <w:r>
        <w:rPr>
          <w:rFonts w:cs="Times New Roman"/>
          <w:szCs w:val="20"/>
        </w:rPr>
        <w:t xml:space="preserve">t opzicht </w:t>
      </w:r>
      <w:r w:rsidR="00387268">
        <w:rPr>
          <w:rFonts w:cs="Times New Roman"/>
          <w:szCs w:val="20"/>
        </w:rPr>
        <w:t>valt het te betreuren</w:t>
      </w:r>
      <w:r>
        <w:rPr>
          <w:rFonts w:cs="Times New Roman"/>
          <w:szCs w:val="20"/>
        </w:rPr>
        <w:t xml:space="preserve"> dat</w:t>
      </w:r>
      <w:r w:rsidR="00387268">
        <w:rPr>
          <w:rFonts w:cs="Times New Roman"/>
          <w:szCs w:val="20"/>
        </w:rPr>
        <w:t xml:space="preserve"> </w:t>
      </w:r>
      <w:r w:rsidR="00710669">
        <w:rPr>
          <w:rFonts w:cs="Times New Roman"/>
          <w:szCs w:val="20"/>
        </w:rPr>
        <w:t xml:space="preserve">de </w:t>
      </w:r>
      <w:r w:rsidR="00387268">
        <w:rPr>
          <w:rFonts w:cs="Times New Roman"/>
          <w:szCs w:val="20"/>
        </w:rPr>
        <w:t>bepalingen inzake</w:t>
      </w:r>
      <w:r>
        <w:rPr>
          <w:rFonts w:cs="Times New Roman"/>
          <w:szCs w:val="20"/>
        </w:rPr>
        <w:t xml:space="preserve"> de informatiefiches van het </w:t>
      </w:r>
      <w:r w:rsidR="00240AAA">
        <w:rPr>
          <w:rFonts w:cs="Times New Roman"/>
          <w:szCs w:val="20"/>
        </w:rPr>
        <w:t>T</w:t>
      </w:r>
      <w:r>
        <w:rPr>
          <w:rFonts w:cs="Times New Roman"/>
          <w:szCs w:val="20"/>
        </w:rPr>
        <w:t>ransversaal KB werd</w:t>
      </w:r>
      <w:r w:rsidR="00B11AF4">
        <w:rPr>
          <w:rFonts w:cs="Times New Roman"/>
          <w:szCs w:val="20"/>
        </w:rPr>
        <w:t>en</w:t>
      </w:r>
      <w:r>
        <w:rPr>
          <w:rFonts w:cs="Times New Roman"/>
          <w:szCs w:val="20"/>
        </w:rPr>
        <w:t xml:space="preserve"> afgeschaft omwille van de inwerkingtreding van de PRIIPS-verordening, terwijl </w:t>
      </w:r>
      <w:r w:rsidR="0035342D">
        <w:rPr>
          <w:rFonts w:cs="Times New Roman"/>
          <w:szCs w:val="20"/>
        </w:rPr>
        <w:t>de bepalingen van dit KB</w:t>
      </w:r>
      <w:r>
        <w:rPr>
          <w:rFonts w:cs="Times New Roman"/>
          <w:szCs w:val="20"/>
        </w:rPr>
        <w:t xml:space="preserve"> toch van toepassing waren op veel meer financiële producten dan </w:t>
      </w:r>
      <w:r w:rsidR="00B26D3D">
        <w:rPr>
          <w:rFonts w:cs="Times New Roman"/>
          <w:szCs w:val="20"/>
        </w:rPr>
        <w:t>het ‘</w:t>
      </w:r>
      <w:r w:rsidR="00B26D3D" w:rsidRPr="00B26D3D">
        <w:rPr>
          <w:rFonts w:cs="Times New Roman"/>
          <w:i/>
          <w:szCs w:val="20"/>
        </w:rPr>
        <w:t>Key In</w:t>
      </w:r>
      <w:r w:rsidR="00B26D3D">
        <w:rPr>
          <w:rFonts w:cs="Times New Roman"/>
          <w:i/>
          <w:szCs w:val="20"/>
        </w:rPr>
        <w:t>formation</w:t>
      </w:r>
      <w:r w:rsidR="00B26D3D" w:rsidRPr="00B26D3D">
        <w:rPr>
          <w:rFonts w:cs="Times New Roman"/>
          <w:i/>
          <w:szCs w:val="20"/>
        </w:rPr>
        <w:t xml:space="preserve"> Document</w:t>
      </w:r>
      <w:r w:rsidR="00B26D3D">
        <w:rPr>
          <w:rFonts w:cs="Times New Roman"/>
          <w:szCs w:val="20"/>
        </w:rPr>
        <w:t>’</w:t>
      </w:r>
      <w:r w:rsidR="00710669">
        <w:rPr>
          <w:rFonts w:cs="Times New Roman"/>
          <w:szCs w:val="20"/>
        </w:rPr>
        <w:t xml:space="preserve"> (KID)</w:t>
      </w:r>
      <w:r w:rsidR="00710669">
        <w:rPr>
          <w:rStyle w:val="Voetnootmarkering"/>
          <w:rFonts w:cs="Times New Roman"/>
          <w:szCs w:val="20"/>
        </w:rPr>
        <w:footnoteReference w:id="112"/>
      </w:r>
      <w:r>
        <w:rPr>
          <w:rFonts w:cs="Times New Roman"/>
          <w:szCs w:val="20"/>
        </w:rPr>
        <w:t xml:space="preserve"> van PRIIPS. Een aanpassing van het KB </w:t>
      </w:r>
      <w:r w:rsidR="00710669">
        <w:rPr>
          <w:rFonts w:cs="Times New Roman"/>
          <w:szCs w:val="20"/>
        </w:rPr>
        <w:t>in de zin van</w:t>
      </w:r>
      <w:r>
        <w:rPr>
          <w:rFonts w:cs="Times New Roman"/>
          <w:szCs w:val="20"/>
        </w:rPr>
        <w:t xml:space="preserve"> een uitbreiding naar alle financiële producten</w:t>
      </w:r>
      <w:r w:rsidR="00387268">
        <w:rPr>
          <w:rFonts w:cs="Times New Roman"/>
          <w:szCs w:val="20"/>
        </w:rPr>
        <w:t xml:space="preserve"> </w:t>
      </w:r>
      <w:r w:rsidR="00710669">
        <w:rPr>
          <w:rFonts w:cs="Times New Roman"/>
          <w:szCs w:val="20"/>
        </w:rPr>
        <w:t xml:space="preserve">en bijkomende </w:t>
      </w:r>
      <w:r w:rsidR="00387268">
        <w:rPr>
          <w:rFonts w:cs="Times New Roman"/>
          <w:szCs w:val="20"/>
        </w:rPr>
        <w:t>modelle</w:t>
      </w:r>
      <w:r w:rsidR="00710669">
        <w:rPr>
          <w:rFonts w:cs="Times New Roman"/>
          <w:szCs w:val="20"/>
        </w:rPr>
        <w:t>ring</w:t>
      </w:r>
      <w:r w:rsidR="00387268">
        <w:rPr>
          <w:rFonts w:cs="Times New Roman"/>
          <w:szCs w:val="20"/>
        </w:rPr>
        <w:t xml:space="preserve"> op het KID</w:t>
      </w:r>
      <w:r w:rsidR="002B18DC">
        <w:rPr>
          <w:rFonts w:cs="Times New Roman"/>
          <w:szCs w:val="20"/>
        </w:rPr>
        <w:t xml:space="preserve"> had </w:t>
      </w:r>
      <w:r>
        <w:rPr>
          <w:rFonts w:cs="Times New Roman"/>
          <w:szCs w:val="20"/>
        </w:rPr>
        <w:t xml:space="preserve">ook mogelijk geweest. De PRIIPS-verordening </w:t>
      </w:r>
      <w:r w:rsidR="00387268">
        <w:rPr>
          <w:rFonts w:cs="Times New Roman"/>
          <w:szCs w:val="20"/>
        </w:rPr>
        <w:t xml:space="preserve">had </w:t>
      </w:r>
      <w:r w:rsidR="002B18DC">
        <w:rPr>
          <w:rFonts w:cs="Times New Roman"/>
          <w:szCs w:val="20"/>
        </w:rPr>
        <w:t>deze</w:t>
      </w:r>
      <w:r w:rsidR="00387268">
        <w:rPr>
          <w:rFonts w:cs="Times New Roman"/>
          <w:szCs w:val="20"/>
        </w:rPr>
        <w:t xml:space="preserve"> werkwijze</w:t>
      </w:r>
      <w:r w:rsidR="002B18DC">
        <w:rPr>
          <w:rFonts w:cs="Times New Roman"/>
          <w:szCs w:val="20"/>
        </w:rPr>
        <w:t xml:space="preserve"> immers</w:t>
      </w:r>
      <w:r w:rsidR="00387268">
        <w:rPr>
          <w:rFonts w:cs="Times New Roman"/>
          <w:szCs w:val="20"/>
        </w:rPr>
        <w:t xml:space="preserve"> niet in de weg gestaan</w:t>
      </w:r>
      <w:r>
        <w:rPr>
          <w:rFonts w:cs="Times New Roman"/>
          <w:szCs w:val="20"/>
        </w:rPr>
        <w:t>.</w:t>
      </w:r>
      <w:r>
        <w:rPr>
          <w:rStyle w:val="Voetnootmarkering"/>
          <w:rFonts w:cs="Times New Roman"/>
          <w:szCs w:val="20"/>
        </w:rPr>
        <w:footnoteReference w:id="113"/>
      </w:r>
      <w:r w:rsidR="00EA7F1E">
        <w:rPr>
          <w:rFonts w:cs="Times New Roman"/>
          <w:szCs w:val="20"/>
        </w:rPr>
        <w:t xml:space="preserve"> </w:t>
      </w:r>
      <w:r w:rsidR="00A15E2F">
        <w:rPr>
          <w:rFonts w:cs="Times New Roman"/>
          <w:szCs w:val="20"/>
        </w:rPr>
        <w:t>A</w:t>
      </w:r>
      <w:r w:rsidR="00EA7F1E">
        <w:rPr>
          <w:rFonts w:cs="Times New Roman"/>
          <w:szCs w:val="20"/>
        </w:rPr>
        <w:t>rtikel 30</w:t>
      </w:r>
      <w:r w:rsidR="00EA7F1E" w:rsidRPr="00710669">
        <w:rPr>
          <w:rFonts w:cs="Times New Roman"/>
          <w:i/>
          <w:szCs w:val="20"/>
        </w:rPr>
        <w:t>bis</w:t>
      </w:r>
      <w:r w:rsidR="00EA7F1E">
        <w:rPr>
          <w:rFonts w:cs="Times New Roman"/>
          <w:szCs w:val="20"/>
        </w:rPr>
        <w:t xml:space="preserve">, eerste lid, 2° WFT </w:t>
      </w:r>
      <w:r w:rsidR="00A15E2F">
        <w:rPr>
          <w:rFonts w:cs="Times New Roman"/>
          <w:szCs w:val="20"/>
        </w:rPr>
        <w:t xml:space="preserve">zou </w:t>
      </w:r>
      <w:r w:rsidR="00EA7F1E">
        <w:rPr>
          <w:rFonts w:cs="Times New Roman"/>
          <w:szCs w:val="20"/>
        </w:rPr>
        <w:t xml:space="preserve">in de toekomst </w:t>
      </w:r>
      <w:r w:rsidR="00142ED7">
        <w:rPr>
          <w:rFonts w:cs="Times New Roman"/>
          <w:szCs w:val="20"/>
        </w:rPr>
        <w:t xml:space="preserve">enkel nog </w:t>
      </w:r>
      <w:r w:rsidR="00EA7F1E">
        <w:rPr>
          <w:rFonts w:cs="Times New Roman"/>
          <w:szCs w:val="20"/>
        </w:rPr>
        <w:t xml:space="preserve">de hiaten in de essentiële informatieverstrekking kunnen opvullen </w:t>
      </w:r>
      <w:r w:rsidR="00226B5E">
        <w:rPr>
          <w:rFonts w:cs="Times New Roman"/>
          <w:szCs w:val="20"/>
        </w:rPr>
        <w:t>om</w:t>
      </w:r>
      <w:r w:rsidR="00EA7F1E">
        <w:rPr>
          <w:rFonts w:cs="Times New Roman"/>
          <w:szCs w:val="20"/>
        </w:rPr>
        <w:t xml:space="preserve"> op die wijze een kwali</w:t>
      </w:r>
      <w:r w:rsidR="0007006A">
        <w:rPr>
          <w:rFonts w:cs="Times New Roman"/>
          <w:szCs w:val="20"/>
        </w:rPr>
        <w:softHyphen/>
      </w:r>
      <w:r w:rsidR="00EA7F1E">
        <w:rPr>
          <w:rFonts w:cs="Times New Roman"/>
          <w:szCs w:val="20"/>
        </w:rPr>
        <w:t xml:space="preserve">tatieve informatieverstrekking tot stand </w:t>
      </w:r>
      <w:r w:rsidR="00226B5E">
        <w:rPr>
          <w:rFonts w:cs="Times New Roman"/>
          <w:szCs w:val="20"/>
        </w:rPr>
        <w:t xml:space="preserve">te </w:t>
      </w:r>
      <w:r w:rsidR="00EA7F1E">
        <w:rPr>
          <w:rFonts w:cs="Times New Roman"/>
          <w:szCs w:val="20"/>
        </w:rPr>
        <w:t>b</w:t>
      </w:r>
      <w:r w:rsidR="00226B5E">
        <w:rPr>
          <w:rFonts w:cs="Times New Roman"/>
          <w:szCs w:val="20"/>
        </w:rPr>
        <w:t>rengen voor alle financiële producten.</w:t>
      </w:r>
      <w:r w:rsidR="00142ED7">
        <w:rPr>
          <w:rFonts w:cs="Times New Roman"/>
          <w:szCs w:val="20"/>
        </w:rPr>
        <w:t xml:space="preserve"> Gedacht kan worden aan essen</w:t>
      </w:r>
      <w:r w:rsidR="0007006A">
        <w:rPr>
          <w:rFonts w:cs="Times New Roman"/>
          <w:szCs w:val="20"/>
        </w:rPr>
        <w:softHyphen/>
      </w:r>
      <w:r w:rsidR="00142ED7">
        <w:rPr>
          <w:rFonts w:cs="Times New Roman"/>
          <w:szCs w:val="20"/>
        </w:rPr>
        <w:t>tiële informatie</w:t>
      </w:r>
      <w:r w:rsidR="00936993">
        <w:rPr>
          <w:rFonts w:cs="Times New Roman"/>
          <w:szCs w:val="20"/>
        </w:rPr>
        <w:t>verstrekking bij</w:t>
      </w:r>
      <w:r w:rsidR="00142ED7">
        <w:rPr>
          <w:rFonts w:cs="Times New Roman"/>
          <w:szCs w:val="20"/>
        </w:rPr>
        <w:t xml:space="preserve"> niet-ger</w:t>
      </w:r>
      <w:r w:rsidR="001351CB">
        <w:rPr>
          <w:rFonts w:cs="Times New Roman"/>
          <w:szCs w:val="20"/>
        </w:rPr>
        <w:t>e</w:t>
      </w:r>
      <w:r w:rsidR="00142ED7">
        <w:rPr>
          <w:rFonts w:cs="Times New Roman"/>
          <w:szCs w:val="20"/>
        </w:rPr>
        <w:t>glementeerde spaa</w:t>
      </w:r>
      <w:r w:rsidR="001351CB">
        <w:rPr>
          <w:rFonts w:cs="Times New Roman"/>
          <w:szCs w:val="20"/>
        </w:rPr>
        <w:t>rrekeningen</w:t>
      </w:r>
      <w:r w:rsidR="00142ED7">
        <w:rPr>
          <w:rFonts w:cs="Times New Roman"/>
          <w:szCs w:val="20"/>
        </w:rPr>
        <w:t>.</w:t>
      </w:r>
    </w:p>
    <w:p w:rsidR="00222244" w:rsidRPr="00222244" w:rsidRDefault="00222244" w:rsidP="00253E6B">
      <w:pPr>
        <w:spacing w:line="276" w:lineRule="auto"/>
        <w:rPr>
          <w:rFonts w:cs="Times New Roman"/>
          <w:b/>
          <w:szCs w:val="20"/>
        </w:rPr>
      </w:pPr>
      <w:r w:rsidRPr="00222244">
        <w:rPr>
          <w:rFonts w:cs="Times New Roman"/>
          <w:b/>
          <w:szCs w:val="20"/>
        </w:rPr>
        <w:t xml:space="preserve">C. </w:t>
      </w:r>
      <w:r w:rsidR="00C803EC">
        <w:rPr>
          <w:rFonts w:cs="Times New Roman"/>
          <w:b/>
          <w:szCs w:val="20"/>
        </w:rPr>
        <w:t>Referentie-v</w:t>
      </w:r>
      <w:r w:rsidRPr="00222244">
        <w:rPr>
          <w:rFonts w:cs="Times New Roman"/>
          <w:b/>
          <w:szCs w:val="20"/>
        </w:rPr>
        <w:t>ragenlijsten</w:t>
      </w:r>
    </w:p>
    <w:p w:rsidR="008237B8" w:rsidRDefault="00B11AF4" w:rsidP="00380221">
      <w:pPr>
        <w:pStyle w:val="Lijstalinea"/>
        <w:numPr>
          <w:ilvl w:val="0"/>
          <w:numId w:val="3"/>
        </w:numPr>
        <w:spacing w:line="276" w:lineRule="auto"/>
        <w:rPr>
          <w:rFonts w:cs="Times New Roman"/>
          <w:szCs w:val="20"/>
        </w:rPr>
      </w:pPr>
      <w:r w:rsidRPr="00B11AF4">
        <w:rPr>
          <w:rFonts w:cs="Times New Roman"/>
          <w:i/>
          <w:szCs w:val="20"/>
        </w:rPr>
        <w:t>Standaardisering</w:t>
      </w:r>
      <w:r>
        <w:rPr>
          <w:rFonts w:cs="Times New Roman"/>
          <w:szCs w:val="20"/>
        </w:rPr>
        <w:t xml:space="preserve"> </w:t>
      </w:r>
      <w:r w:rsidRPr="00643C19">
        <w:t>‒</w:t>
      </w:r>
      <w:r>
        <w:rPr>
          <w:rFonts w:cs="Times New Roman"/>
          <w:szCs w:val="20"/>
        </w:rPr>
        <w:t xml:space="preserve"> </w:t>
      </w:r>
      <w:r w:rsidR="008237B8" w:rsidRPr="008237B8">
        <w:rPr>
          <w:rFonts w:cs="Times New Roman"/>
          <w:szCs w:val="20"/>
        </w:rPr>
        <w:t xml:space="preserve">De </w:t>
      </w:r>
      <w:r w:rsidR="008237B8">
        <w:rPr>
          <w:rFonts w:cs="Times New Roman"/>
          <w:szCs w:val="20"/>
        </w:rPr>
        <w:t>derde en laatste bevoegdheid van artikel 30</w:t>
      </w:r>
      <w:r w:rsidR="008237B8">
        <w:rPr>
          <w:rFonts w:cs="Times New Roman"/>
          <w:i/>
          <w:szCs w:val="20"/>
        </w:rPr>
        <w:t>bis</w:t>
      </w:r>
      <w:r w:rsidR="008237B8">
        <w:t xml:space="preserve"> WFT geeft </w:t>
      </w:r>
      <w:r w:rsidR="00815726">
        <w:t xml:space="preserve">de FSMA de mogelijkheid om een referentie-vragenlijst aan te bevelen voor het bepalen van het beleggersprofiel voor afnemers van financiële producten. </w:t>
      </w:r>
      <w:r w:rsidR="00770F8B">
        <w:t>De</w:t>
      </w:r>
      <w:r w:rsidR="00DD06F1">
        <w:t>rgelijke</w:t>
      </w:r>
      <w:r w:rsidR="00770F8B">
        <w:t xml:space="preserve"> vragenlijst</w:t>
      </w:r>
      <w:r w:rsidR="00DD06F1">
        <w:t>en</w:t>
      </w:r>
      <w:r w:rsidR="00770F8B">
        <w:t xml:space="preserve"> zouden een uniforme werkwijze bij financiële instellingen tot stand moeten brengen in hun toepassing van de zogenaamde </w:t>
      </w:r>
      <w:r w:rsidR="00770F8B" w:rsidRPr="00DD06F1">
        <w:rPr>
          <w:i/>
        </w:rPr>
        <w:t>suitability</w:t>
      </w:r>
      <w:r w:rsidR="00DD06F1">
        <w:rPr>
          <w:i/>
        </w:rPr>
        <w:t xml:space="preserve"> </w:t>
      </w:r>
      <w:r w:rsidR="00770F8B" w:rsidRPr="00DD06F1">
        <w:t>en</w:t>
      </w:r>
      <w:r w:rsidR="00770F8B">
        <w:t xml:space="preserve"> </w:t>
      </w:r>
      <w:r w:rsidR="00770F8B" w:rsidRPr="00770F8B">
        <w:rPr>
          <w:i/>
        </w:rPr>
        <w:t>appriopriateness</w:t>
      </w:r>
      <w:r w:rsidR="00770F8B">
        <w:t xml:space="preserve"> </w:t>
      </w:r>
      <w:r w:rsidR="00770F8B" w:rsidRPr="00373337">
        <w:rPr>
          <w:i/>
        </w:rPr>
        <w:t>tests</w:t>
      </w:r>
      <w:r w:rsidR="00770F8B">
        <w:t>.</w:t>
      </w:r>
      <w:r w:rsidR="00DD06F1" w:rsidRPr="00DD06F1">
        <w:rPr>
          <w:rStyle w:val="Voetnootmarkering"/>
        </w:rPr>
        <w:footnoteReference w:id="114"/>
      </w:r>
      <w:r w:rsidR="00730D7C">
        <w:t xml:space="preserve"> Om aan deze verplichtingen te voldoen moet de financiële instelling immers informatie inwinnen bij haar cliënten, wat </w:t>
      </w:r>
      <w:r w:rsidR="004D2E58">
        <w:t>ze</w:t>
      </w:r>
      <w:r w:rsidR="00730D7C">
        <w:t xml:space="preserve"> doorgaans doet aan de h</w:t>
      </w:r>
      <w:r w:rsidR="00023D41">
        <w:t xml:space="preserve">and van vragenlijsten. De FSMA kan met deze derde bevoegdheid dus modellen van dergelijke vragenlijsten opstellen waarbij de financiële instelling vrij is deze op te volgen. </w:t>
      </w:r>
      <w:r w:rsidR="00264A43">
        <w:t>De wet beperkt zich</w:t>
      </w:r>
      <w:r w:rsidR="00380221">
        <w:t xml:space="preserve"> </w:t>
      </w:r>
      <w:r w:rsidR="00334C66">
        <w:t>hier</w:t>
      </w:r>
      <w:r w:rsidR="00264A43">
        <w:t xml:space="preserve"> tot een aanbeveling omdat een dwingende bevoegdheid strij</w:t>
      </w:r>
      <w:r w:rsidR="0007224C">
        <w:t>dig werd geacht met het maximale</w:t>
      </w:r>
      <w:r w:rsidR="00264A43">
        <w:t xml:space="preserve"> harmoniserend</w:t>
      </w:r>
      <w:r w:rsidR="0007224C">
        <w:t>e</w:t>
      </w:r>
      <w:r w:rsidR="00264A43">
        <w:t xml:space="preserve"> karakter van de eerste MiFID-richtlijn.</w:t>
      </w:r>
      <w:r w:rsidR="00264A43">
        <w:rPr>
          <w:rStyle w:val="Voetnootmarkering"/>
        </w:rPr>
        <w:footnoteReference w:id="115"/>
      </w:r>
      <w:r w:rsidR="00264A43">
        <w:t xml:space="preserve"> </w:t>
      </w:r>
      <w:r w:rsidR="008D3595">
        <w:t xml:space="preserve">Deze bevoegdheid kan met andere woorden enkel een vorm van </w:t>
      </w:r>
      <w:r w:rsidR="008D3595">
        <w:rPr>
          <w:i/>
        </w:rPr>
        <w:t>soft law</w:t>
      </w:r>
      <w:r w:rsidR="00A15E2F">
        <w:t xml:space="preserve"> tot stand brengen.</w:t>
      </w:r>
    </w:p>
    <w:p w:rsidR="00982447" w:rsidRDefault="00966AE0" w:rsidP="00253E6B">
      <w:pPr>
        <w:spacing w:line="276" w:lineRule="auto"/>
        <w:rPr>
          <w:rFonts w:cs="Times New Roman"/>
          <w:szCs w:val="20"/>
        </w:rPr>
      </w:pPr>
      <w:r>
        <w:rPr>
          <w:rFonts w:cs="Times New Roman"/>
          <w:b/>
          <w:szCs w:val="20"/>
        </w:rPr>
        <w:t>IV. Sancties</w:t>
      </w:r>
    </w:p>
    <w:p w:rsidR="00373337" w:rsidRDefault="00380221" w:rsidP="00380221">
      <w:pPr>
        <w:pStyle w:val="Lijstalinea"/>
        <w:numPr>
          <w:ilvl w:val="0"/>
          <w:numId w:val="3"/>
        </w:numPr>
        <w:spacing w:line="276" w:lineRule="auto"/>
        <w:rPr>
          <w:rFonts w:cs="Times New Roman"/>
          <w:szCs w:val="20"/>
        </w:rPr>
      </w:pPr>
      <w:r w:rsidRPr="00FF667A">
        <w:rPr>
          <w:rFonts w:cs="Times New Roman"/>
          <w:i/>
          <w:szCs w:val="20"/>
        </w:rPr>
        <w:t>Publiekrechtelijke sancties</w:t>
      </w:r>
      <w:r>
        <w:rPr>
          <w:rFonts w:cs="Times New Roman"/>
          <w:szCs w:val="20"/>
        </w:rPr>
        <w:t xml:space="preserve"> </w:t>
      </w:r>
      <w:r w:rsidRPr="00643C19">
        <w:t>‒</w:t>
      </w:r>
      <w:r>
        <w:rPr>
          <w:rFonts w:cs="Times New Roman"/>
          <w:szCs w:val="20"/>
        </w:rPr>
        <w:t xml:space="preserve"> </w:t>
      </w:r>
      <w:r w:rsidR="008D3595">
        <w:rPr>
          <w:rFonts w:cs="Times New Roman"/>
          <w:szCs w:val="20"/>
        </w:rPr>
        <w:t xml:space="preserve">De FSMA kan </w:t>
      </w:r>
      <w:r w:rsidR="00733DE2">
        <w:rPr>
          <w:rFonts w:cs="Times New Roman"/>
          <w:szCs w:val="20"/>
        </w:rPr>
        <w:t xml:space="preserve">inbreuken op de genomen reglementen </w:t>
      </w:r>
      <w:r w:rsidR="001E1FE1">
        <w:rPr>
          <w:rFonts w:cs="Times New Roman"/>
          <w:szCs w:val="20"/>
        </w:rPr>
        <w:t>vaststellen</w:t>
      </w:r>
      <w:r w:rsidR="001E1FE1">
        <w:rPr>
          <w:rStyle w:val="Voetnootmarkering"/>
          <w:rFonts w:cs="Times New Roman"/>
          <w:szCs w:val="20"/>
        </w:rPr>
        <w:footnoteReference w:id="116"/>
      </w:r>
      <w:r w:rsidR="001E1FE1">
        <w:rPr>
          <w:rFonts w:cs="Times New Roman"/>
          <w:szCs w:val="20"/>
        </w:rPr>
        <w:t xml:space="preserve"> en admini</w:t>
      </w:r>
      <w:r w:rsidR="0007006A">
        <w:rPr>
          <w:rFonts w:cs="Times New Roman"/>
          <w:szCs w:val="20"/>
        </w:rPr>
        <w:softHyphen/>
      </w:r>
      <w:r w:rsidR="001E1FE1">
        <w:rPr>
          <w:rFonts w:cs="Times New Roman"/>
          <w:szCs w:val="20"/>
        </w:rPr>
        <w:t xml:space="preserve">stratief </w:t>
      </w:r>
      <w:r w:rsidR="00733DE2">
        <w:rPr>
          <w:rFonts w:cs="Times New Roman"/>
          <w:szCs w:val="20"/>
        </w:rPr>
        <w:t>sanctioneren</w:t>
      </w:r>
      <w:r w:rsidR="001E1FE1">
        <w:rPr>
          <w:rStyle w:val="Voetnootmarkering"/>
          <w:rFonts w:cs="Times New Roman"/>
          <w:szCs w:val="20"/>
        </w:rPr>
        <w:footnoteReference w:id="117"/>
      </w:r>
      <w:r w:rsidR="00B64D5C">
        <w:rPr>
          <w:rFonts w:cs="Times New Roman"/>
          <w:szCs w:val="20"/>
        </w:rPr>
        <w:t>. Kort gesteld kan de financiële toezichthouder</w:t>
      </w:r>
      <w:r w:rsidR="00525A74">
        <w:rPr>
          <w:rFonts w:cs="Times New Roman"/>
          <w:szCs w:val="20"/>
        </w:rPr>
        <w:t xml:space="preserve"> onder meer</w:t>
      </w:r>
      <w:r w:rsidR="00B64D5C">
        <w:rPr>
          <w:rFonts w:cs="Times New Roman"/>
          <w:szCs w:val="20"/>
        </w:rPr>
        <w:t xml:space="preserve"> een bevel geven om van de inbreuk af t</w:t>
      </w:r>
      <w:r w:rsidR="000E27AC">
        <w:rPr>
          <w:rFonts w:cs="Times New Roman"/>
          <w:szCs w:val="20"/>
        </w:rPr>
        <w:t xml:space="preserve">e zien, waarschuwingen geven en deze eventueel </w:t>
      </w:r>
      <w:r w:rsidR="00B64D5C">
        <w:rPr>
          <w:rFonts w:cs="Times New Roman"/>
          <w:szCs w:val="20"/>
        </w:rPr>
        <w:t>bekendmaken, dwangsommen opleggen, ee</w:t>
      </w:r>
      <w:r w:rsidR="00525A74">
        <w:rPr>
          <w:rFonts w:cs="Times New Roman"/>
          <w:szCs w:val="20"/>
        </w:rPr>
        <w:t>n bevel geven tot opschorting dan wel</w:t>
      </w:r>
      <w:r w:rsidR="00B64D5C">
        <w:rPr>
          <w:rFonts w:cs="Times New Roman"/>
          <w:szCs w:val="20"/>
        </w:rPr>
        <w:t xml:space="preserve"> een verbod</w:t>
      </w:r>
      <w:r w:rsidR="00FF667A">
        <w:rPr>
          <w:rFonts w:cs="Times New Roman"/>
          <w:szCs w:val="20"/>
        </w:rPr>
        <w:t xml:space="preserve"> instellen</w:t>
      </w:r>
      <w:r w:rsidR="00B64D5C">
        <w:rPr>
          <w:rFonts w:cs="Times New Roman"/>
          <w:szCs w:val="20"/>
        </w:rPr>
        <w:t xml:space="preserve"> om een financieel product te commercialiseren </w:t>
      </w:r>
      <w:r w:rsidR="00FF667A">
        <w:rPr>
          <w:rFonts w:cs="Times New Roman"/>
          <w:szCs w:val="20"/>
        </w:rPr>
        <w:t>of</w:t>
      </w:r>
      <w:r w:rsidR="00B64D5C">
        <w:rPr>
          <w:rFonts w:cs="Times New Roman"/>
          <w:szCs w:val="20"/>
        </w:rPr>
        <w:t xml:space="preserve"> een admini</w:t>
      </w:r>
      <w:r w:rsidR="0007006A">
        <w:rPr>
          <w:rFonts w:cs="Times New Roman"/>
          <w:szCs w:val="20"/>
        </w:rPr>
        <w:softHyphen/>
      </w:r>
      <w:r w:rsidR="00B64D5C">
        <w:rPr>
          <w:rFonts w:cs="Times New Roman"/>
          <w:szCs w:val="20"/>
        </w:rPr>
        <w:t xml:space="preserve">stratieve geldboete </w:t>
      </w:r>
      <w:r w:rsidR="00FF667A">
        <w:rPr>
          <w:rFonts w:cs="Times New Roman"/>
          <w:szCs w:val="20"/>
        </w:rPr>
        <w:t>opleggen</w:t>
      </w:r>
      <w:r w:rsidR="00B64D5C">
        <w:rPr>
          <w:rFonts w:cs="Times New Roman"/>
          <w:szCs w:val="20"/>
        </w:rPr>
        <w:t xml:space="preserve"> aan de financiële instelling en/of haar leidinggevenden</w:t>
      </w:r>
      <w:r w:rsidR="001E1FE1">
        <w:rPr>
          <w:rFonts w:cs="Times New Roman"/>
          <w:szCs w:val="20"/>
        </w:rPr>
        <w:t>.</w:t>
      </w:r>
      <w:r w:rsidR="00141E7B">
        <w:rPr>
          <w:rFonts w:cs="Times New Roman"/>
          <w:szCs w:val="20"/>
        </w:rPr>
        <w:t xml:space="preserve"> Deze sancties zijn overigens niet van toepassing op een schending van het vrijwillig moratorium. </w:t>
      </w:r>
      <w:r w:rsidR="00D32393">
        <w:rPr>
          <w:rFonts w:cs="Times New Roman"/>
          <w:szCs w:val="20"/>
        </w:rPr>
        <w:t xml:space="preserve">Enkel </w:t>
      </w:r>
      <w:r w:rsidR="00525A74">
        <w:rPr>
          <w:rFonts w:cs="Times New Roman"/>
          <w:szCs w:val="20"/>
        </w:rPr>
        <w:t>de schrapping van de</w:t>
      </w:r>
      <w:r w:rsidR="00D32393">
        <w:rPr>
          <w:rFonts w:cs="Times New Roman"/>
          <w:szCs w:val="20"/>
        </w:rPr>
        <w:t xml:space="preserve"> naam van de inbreukmaker uit de lijst</w:t>
      </w:r>
      <w:r w:rsidR="00525A74">
        <w:rPr>
          <w:rFonts w:cs="Times New Roman"/>
          <w:szCs w:val="20"/>
        </w:rPr>
        <w:t xml:space="preserve"> van ondertekenaars</w:t>
      </w:r>
      <w:r w:rsidR="00D32393">
        <w:rPr>
          <w:rFonts w:cs="Times New Roman"/>
          <w:szCs w:val="20"/>
        </w:rPr>
        <w:t xml:space="preserve"> </w:t>
      </w:r>
      <w:r w:rsidR="00525A74">
        <w:rPr>
          <w:rFonts w:cs="Times New Roman"/>
          <w:szCs w:val="20"/>
        </w:rPr>
        <w:t>is mogelijk</w:t>
      </w:r>
      <w:r w:rsidR="00D32393">
        <w:rPr>
          <w:rStyle w:val="Voetnootmarkering"/>
          <w:rFonts w:cs="Times New Roman"/>
          <w:szCs w:val="20"/>
        </w:rPr>
        <w:footnoteReference w:id="118"/>
      </w:r>
      <w:r w:rsidR="00525A74">
        <w:rPr>
          <w:rFonts w:cs="Times New Roman"/>
          <w:szCs w:val="20"/>
        </w:rPr>
        <w:t xml:space="preserve"> en</w:t>
      </w:r>
      <w:r w:rsidR="00FB0674">
        <w:rPr>
          <w:rFonts w:cs="Times New Roman"/>
          <w:szCs w:val="20"/>
        </w:rPr>
        <w:t xml:space="preserve"> de miskenning </w:t>
      </w:r>
      <w:r w:rsidR="00525A74">
        <w:rPr>
          <w:rFonts w:cs="Times New Roman"/>
          <w:szCs w:val="20"/>
        </w:rPr>
        <w:t xml:space="preserve">kan </w:t>
      </w:r>
      <w:r w:rsidR="00FB0674">
        <w:rPr>
          <w:rFonts w:cs="Times New Roman"/>
          <w:szCs w:val="20"/>
        </w:rPr>
        <w:t>ook nog als een misleidende handelspraktijk worden beschouwd.</w:t>
      </w:r>
      <w:r w:rsidR="00FB0674">
        <w:rPr>
          <w:rStyle w:val="Voetnootmarkering"/>
          <w:rFonts w:cs="Times New Roman"/>
          <w:szCs w:val="20"/>
        </w:rPr>
        <w:footnoteReference w:id="119"/>
      </w:r>
    </w:p>
    <w:p w:rsidR="003E3478" w:rsidRPr="003F79F4" w:rsidRDefault="00380221" w:rsidP="00867248">
      <w:pPr>
        <w:pStyle w:val="Lijstalinea"/>
        <w:numPr>
          <w:ilvl w:val="0"/>
          <w:numId w:val="3"/>
        </w:numPr>
        <w:spacing w:line="276" w:lineRule="auto"/>
        <w:rPr>
          <w:rFonts w:cs="Times New Roman"/>
          <w:szCs w:val="20"/>
        </w:rPr>
      </w:pPr>
      <w:bookmarkStart w:id="17" w:name="_Ref531339218"/>
      <w:r w:rsidRPr="003F79F4">
        <w:rPr>
          <w:rFonts w:cs="Times New Roman"/>
          <w:i/>
          <w:szCs w:val="20"/>
        </w:rPr>
        <w:t>Privaatrechtelijke afdwinging?</w:t>
      </w:r>
      <w:r w:rsidRPr="003F79F4">
        <w:rPr>
          <w:rFonts w:cs="Times New Roman"/>
          <w:szCs w:val="20"/>
        </w:rPr>
        <w:t xml:space="preserve"> </w:t>
      </w:r>
      <w:r w:rsidRPr="00643C19">
        <w:t>‒</w:t>
      </w:r>
      <w:r>
        <w:t xml:space="preserve"> </w:t>
      </w:r>
      <w:r w:rsidR="00ED4079">
        <w:t>I</w:t>
      </w:r>
      <w:r>
        <w:t>n het kader van artikel 30</w:t>
      </w:r>
      <w:r w:rsidRPr="003F79F4">
        <w:rPr>
          <w:i/>
        </w:rPr>
        <w:t>bis</w:t>
      </w:r>
      <w:r>
        <w:t xml:space="preserve"> WFT</w:t>
      </w:r>
      <w:r w:rsidR="00ED4079">
        <w:t xml:space="preserve"> bestaan twee situaties waarin een pri</w:t>
      </w:r>
      <w:r w:rsidR="0007006A">
        <w:softHyphen/>
      </w:r>
      <w:r w:rsidR="00ED4079">
        <w:t>vaatrechtelijk optreden mogelijk is</w:t>
      </w:r>
      <w:r>
        <w:t xml:space="preserve">. Een eerste situatie heeft betrekking op een afnemer die </w:t>
      </w:r>
      <w:r w:rsidR="007A3F78">
        <w:t xml:space="preserve">schade lijdt ingevolge </w:t>
      </w:r>
      <w:r w:rsidR="00E511B0">
        <w:t>de schending van een reglement</w:t>
      </w:r>
      <w:r w:rsidR="00C803EC">
        <w:t xml:space="preserve"> tot productinterventie</w:t>
      </w:r>
      <w:r w:rsidR="00E511B0">
        <w:t xml:space="preserve">. </w:t>
      </w:r>
      <w:r w:rsidR="00453EE7" w:rsidRPr="003F79F4">
        <w:rPr>
          <w:rFonts w:cs="Times New Roman"/>
          <w:szCs w:val="20"/>
        </w:rPr>
        <w:t>De FSMA voorziet niet in een</w:t>
      </w:r>
      <w:r w:rsidR="001F7FC8" w:rsidRPr="003F79F4">
        <w:rPr>
          <w:rFonts w:cs="Times New Roman"/>
          <w:szCs w:val="20"/>
        </w:rPr>
        <w:t xml:space="preserve"> compensatoire genoegdoe</w:t>
      </w:r>
      <w:r w:rsidR="0007006A">
        <w:rPr>
          <w:rFonts w:cs="Times New Roman"/>
          <w:szCs w:val="20"/>
        </w:rPr>
        <w:softHyphen/>
      </w:r>
      <w:r w:rsidR="001F7FC8" w:rsidRPr="003F79F4">
        <w:rPr>
          <w:rFonts w:cs="Times New Roman"/>
          <w:szCs w:val="20"/>
        </w:rPr>
        <w:t xml:space="preserve">ning </w:t>
      </w:r>
      <w:r w:rsidR="00453EE7" w:rsidRPr="003F79F4">
        <w:rPr>
          <w:rFonts w:cs="Times New Roman"/>
          <w:szCs w:val="20"/>
        </w:rPr>
        <w:t>v</w:t>
      </w:r>
      <w:r w:rsidR="00AF37F2">
        <w:rPr>
          <w:rFonts w:cs="Times New Roman"/>
          <w:szCs w:val="20"/>
        </w:rPr>
        <w:t>oor</w:t>
      </w:r>
      <w:r w:rsidR="00453EE7" w:rsidRPr="003F79F4">
        <w:rPr>
          <w:rFonts w:cs="Times New Roman"/>
          <w:szCs w:val="20"/>
        </w:rPr>
        <w:t xml:space="preserve"> de slachtoffers van een inbreukmaker, waardoor afnemers van financiële producten die schade lijden </w:t>
      </w:r>
      <w:r w:rsidR="00C803EC">
        <w:rPr>
          <w:rFonts w:cs="Times New Roman"/>
          <w:szCs w:val="20"/>
        </w:rPr>
        <w:lastRenderedPageBreak/>
        <w:t xml:space="preserve">ongeacht een optreden van de toezichthouder </w:t>
      </w:r>
      <w:r w:rsidR="00453EE7" w:rsidRPr="003F79F4">
        <w:rPr>
          <w:rFonts w:cs="Times New Roman"/>
          <w:szCs w:val="20"/>
        </w:rPr>
        <w:t>contractueel</w:t>
      </w:r>
      <w:r w:rsidR="00C803EC">
        <w:rPr>
          <w:rFonts w:cs="Times New Roman"/>
          <w:szCs w:val="20"/>
        </w:rPr>
        <w:t xml:space="preserve"> (o</w:t>
      </w:r>
      <w:r w:rsidR="00AF37F2">
        <w:rPr>
          <w:rFonts w:cs="Times New Roman"/>
          <w:szCs w:val="20"/>
        </w:rPr>
        <w:t xml:space="preserve">p </w:t>
      </w:r>
      <w:r w:rsidR="00C803EC">
        <w:rPr>
          <w:rFonts w:cs="Times New Roman"/>
          <w:szCs w:val="20"/>
        </w:rPr>
        <w:t>g</w:t>
      </w:r>
      <w:r w:rsidR="00AF37F2">
        <w:rPr>
          <w:rFonts w:cs="Times New Roman"/>
          <w:szCs w:val="20"/>
        </w:rPr>
        <w:t xml:space="preserve">rond </w:t>
      </w:r>
      <w:r w:rsidR="00C803EC">
        <w:rPr>
          <w:rFonts w:cs="Times New Roman"/>
          <w:szCs w:val="20"/>
        </w:rPr>
        <w:t>v</w:t>
      </w:r>
      <w:r w:rsidR="00AF37F2">
        <w:rPr>
          <w:rFonts w:cs="Times New Roman"/>
          <w:szCs w:val="20"/>
        </w:rPr>
        <w:t>an</w:t>
      </w:r>
      <w:r w:rsidR="00C803EC">
        <w:rPr>
          <w:rFonts w:cs="Times New Roman"/>
          <w:szCs w:val="20"/>
        </w:rPr>
        <w:t xml:space="preserve"> artikel 1134 BW)</w:t>
      </w:r>
      <w:r w:rsidR="00453EE7" w:rsidRPr="003F79F4">
        <w:rPr>
          <w:rFonts w:cs="Times New Roman"/>
          <w:szCs w:val="20"/>
        </w:rPr>
        <w:t xml:space="preserve"> dan wel buitencontrac</w:t>
      </w:r>
      <w:r w:rsidR="0007006A">
        <w:rPr>
          <w:rFonts w:cs="Times New Roman"/>
          <w:szCs w:val="20"/>
        </w:rPr>
        <w:softHyphen/>
      </w:r>
      <w:r w:rsidR="00453EE7" w:rsidRPr="003F79F4">
        <w:rPr>
          <w:rFonts w:cs="Times New Roman"/>
          <w:szCs w:val="20"/>
        </w:rPr>
        <w:t>tueel</w:t>
      </w:r>
      <w:r w:rsidR="00C803EC">
        <w:rPr>
          <w:rFonts w:cs="Times New Roman"/>
          <w:szCs w:val="20"/>
        </w:rPr>
        <w:t xml:space="preserve"> (o</w:t>
      </w:r>
      <w:r w:rsidR="00AF37F2">
        <w:rPr>
          <w:rFonts w:cs="Times New Roman"/>
          <w:szCs w:val="20"/>
        </w:rPr>
        <w:t xml:space="preserve">p </w:t>
      </w:r>
      <w:r w:rsidR="00C803EC">
        <w:rPr>
          <w:rFonts w:cs="Times New Roman"/>
          <w:szCs w:val="20"/>
        </w:rPr>
        <w:t>g</w:t>
      </w:r>
      <w:r w:rsidR="00AF37F2">
        <w:rPr>
          <w:rFonts w:cs="Times New Roman"/>
          <w:szCs w:val="20"/>
        </w:rPr>
        <w:t xml:space="preserve">rond </w:t>
      </w:r>
      <w:r w:rsidR="00C803EC">
        <w:rPr>
          <w:rFonts w:cs="Times New Roman"/>
          <w:szCs w:val="20"/>
        </w:rPr>
        <w:t>v</w:t>
      </w:r>
      <w:r w:rsidR="00AF37F2">
        <w:rPr>
          <w:rFonts w:cs="Times New Roman"/>
          <w:szCs w:val="20"/>
        </w:rPr>
        <w:t xml:space="preserve">an </w:t>
      </w:r>
      <w:r w:rsidR="00C803EC">
        <w:rPr>
          <w:rFonts w:cs="Times New Roman"/>
          <w:szCs w:val="20"/>
        </w:rPr>
        <w:t>artikel 1382 BW)</w:t>
      </w:r>
      <w:r w:rsidR="00453EE7" w:rsidRPr="003F79F4">
        <w:rPr>
          <w:rFonts w:cs="Times New Roman"/>
          <w:szCs w:val="20"/>
        </w:rPr>
        <w:t xml:space="preserve"> kunnen optreden. De gemeenrechtelijke aansprakelijkheid is hier </w:t>
      </w:r>
      <w:r w:rsidR="00C803EC">
        <w:rPr>
          <w:rFonts w:cs="Times New Roman"/>
          <w:szCs w:val="20"/>
        </w:rPr>
        <w:t>dus</w:t>
      </w:r>
      <w:r w:rsidR="00453EE7" w:rsidRPr="003F79F4">
        <w:rPr>
          <w:rFonts w:cs="Times New Roman"/>
          <w:szCs w:val="20"/>
        </w:rPr>
        <w:t xml:space="preserve"> van toepassing, zij het dat ook rekening moet worden gehouden met de zogenaamde zorgplicht van artikel 27, §1 WFT</w:t>
      </w:r>
      <w:r w:rsidR="008C6252">
        <w:rPr>
          <w:rStyle w:val="Voetnootmarkering"/>
          <w:rFonts w:cs="Times New Roman"/>
          <w:szCs w:val="20"/>
        </w:rPr>
        <w:footnoteReference w:id="120"/>
      </w:r>
      <w:r w:rsidR="00453EE7" w:rsidRPr="003F79F4">
        <w:rPr>
          <w:rFonts w:cs="Times New Roman"/>
          <w:szCs w:val="20"/>
        </w:rPr>
        <w:t xml:space="preserve"> en het causaliteitsvermoeden van artikel 30</w:t>
      </w:r>
      <w:r w:rsidR="00453EE7" w:rsidRPr="00AF37F2">
        <w:rPr>
          <w:rFonts w:cs="Times New Roman"/>
          <w:i/>
          <w:szCs w:val="20"/>
        </w:rPr>
        <w:t>ter</w:t>
      </w:r>
      <w:r w:rsidR="00453EE7" w:rsidRPr="003F79F4">
        <w:rPr>
          <w:rFonts w:cs="Times New Roman"/>
          <w:szCs w:val="20"/>
        </w:rPr>
        <w:t xml:space="preserve"> WFT. Over deze eerste bepaling is reeds wat inkt gevloeid of dit enig verschil </w:t>
      </w:r>
      <w:r w:rsidR="00163A9C">
        <w:rPr>
          <w:rFonts w:cs="Times New Roman"/>
          <w:szCs w:val="20"/>
        </w:rPr>
        <w:t>inhoud</w:t>
      </w:r>
      <w:r w:rsidR="00453EE7" w:rsidRPr="003F79F4">
        <w:rPr>
          <w:rFonts w:cs="Times New Roman"/>
          <w:szCs w:val="20"/>
        </w:rPr>
        <w:t>t ten aanzien</w:t>
      </w:r>
      <w:r w:rsidR="00362A7C">
        <w:rPr>
          <w:rFonts w:cs="Times New Roman"/>
          <w:szCs w:val="20"/>
        </w:rPr>
        <w:t xml:space="preserve"> van</w:t>
      </w:r>
      <w:r w:rsidR="00453EE7" w:rsidRPr="003F79F4">
        <w:rPr>
          <w:rFonts w:cs="Times New Roman"/>
          <w:szCs w:val="20"/>
        </w:rPr>
        <w:t xml:space="preserve"> de algemene zorgvuldigheidsnorm.</w:t>
      </w:r>
      <w:r w:rsidR="00163A9C">
        <w:rPr>
          <w:rStyle w:val="Voetnootmarkering"/>
          <w:rFonts w:cs="Times New Roman"/>
          <w:szCs w:val="20"/>
        </w:rPr>
        <w:footnoteReference w:id="121"/>
      </w:r>
      <w:r w:rsidR="00453EE7" w:rsidRPr="003F79F4">
        <w:rPr>
          <w:rFonts w:cs="Times New Roman"/>
          <w:szCs w:val="20"/>
        </w:rPr>
        <w:t xml:space="preserve"> In ieder geval zal de schending van een </w:t>
      </w:r>
      <w:r w:rsidR="00163A9C">
        <w:rPr>
          <w:rFonts w:cs="Times New Roman"/>
          <w:szCs w:val="20"/>
        </w:rPr>
        <w:t xml:space="preserve">bij KB bekrachtigd </w:t>
      </w:r>
      <w:r w:rsidR="00453EE7" w:rsidRPr="003F79F4">
        <w:rPr>
          <w:rFonts w:cs="Times New Roman"/>
          <w:szCs w:val="20"/>
        </w:rPr>
        <w:t>reglement steeds een fout uitmaken</w:t>
      </w:r>
      <w:r w:rsidR="00C803EC" w:rsidRPr="00C803EC">
        <w:rPr>
          <w:rFonts w:cs="Times New Roman"/>
          <w:szCs w:val="20"/>
        </w:rPr>
        <w:t xml:space="preserve"> </w:t>
      </w:r>
      <w:r w:rsidR="00C803EC">
        <w:rPr>
          <w:rFonts w:cs="Times New Roman"/>
          <w:szCs w:val="20"/>
        </w:rPr>
        <w:t>in de zin van het gemeenrechtelijk aansprakelijk</w:t>
      </w:r>
      <w:r w:rsidR="0007006A">
        <w:rPr>
          <w:rFonts w:cs="Times New Roman"/>
          <w:szCs w:val="20"/>
        </w:rPr>
        <w:softHyphen/>
      </w:r>
      <w:r w:rsidR="00C803EC">
        <w:rPr>
          <w:rFonts w:cs="Times New Roman"/>
          <w:szCs w:val="20"/>
        </w:rPr>
        <w:t xml:space="preserve">heidsrecht en </w:t>
      </w:r>
      <w:r w:rsidR="00334C66">
        <w:rPr>
          <w:rFonts w:cs="Times New Roman"/>
          <w:szCs w:val="20"/>
        </w:rPr>
        <w:t>wellicht ook</w:t>
      </w:r>
      <w:r w:rsidR="00C803EC">
        <w:rPr>
          <w:rFonts w:cs="Times New Roman"/>
          <w:szCs w:val="20"/>
        </w:rPr>
        <w:t xml:space="preserve"> een schending op de zorgplicht</w:t>
      </w:r>
      <w:r w:rsidR="00453EE7" w:rsidRPr="003F79F4">
        <w:rPr>
          <w:rFonts w:cs="Times New Roman"/>
          <w:szCs w:val="20"/>
        </w:rPr>
        <w:t xml:space="preserve">. </w:t>
      </w:r>
      <w:r w:rsidR="00AC11F4">
        <w:rPr>
          <w:rFonts w:cs="Times New Roman"/>
          <w:szCs w:val="20"/>
        </w:rPr>
        <w:t>E</w:t>
      </w:r>
      <w:r w:rsidR="00051A0D" w:rsidRPr="003F79F4">
        <w:rPr>
          <w:rFonts w:cs="Times New Roman"/>
          <w:szCs w:val="20"/>
        </w:rPr>
        <w:t xml:space="preserve">en gedupeerde cliënt </w:t>
      </w:r>
      <w:r w:rsidR="00AC11F4">
        <w:rPr>
          <w:rFonts w:cs="Times New Roman"/>
          <w:szCs w:val="20"/>
        </w:rPr>
        <w:t xml:space="preserve">kan </w:t>
      </w:r>
      <w:r w:rsidR="001E09A9">
        <w:rPr>
          <w:rFonts w:cs="Times New Roman"/>
          <w:szCs w:val="20"/>
        </w:rPr>
        <w:t>op beide gronden</w:t>
      </w:r>
      <w:r w:rsidR="00051A0D" w:rsidRPr="003F79F4">
        <w:rPr>
          <w:rFonts w:cs="Times New Roman"/>
          <w:szCs w:val="20"/>
        </w:rPr>
        <w:t xml:space="preserve"> privaat</w:t>
      </w:r>
      <w:r w:rsidR="0007006A">
        <w:rPr>
          <w:rFonts w:cs="Times New Roman"/>
          <w:szCs w:val="20"/>
        </w:rPr>
        <w:softHyphen/>
      </w:r>
      <w:r w:rsidR="00051A0D" w:rsidRPr="003F79F4">
        <w:rPr>
          <w:rFonts w:cs="Times New Roman"/>
          <w:szCs w:val="20"/>
        </w:rPr>
        <w:t>rechtelijk</w:t>
      </w:r>
      <w:r w:rsidR="00AC11F4">
        <w:rPr>
          <w:rFonts w:cs="Times New Roman"/>
          <w:szCs w:val="20"/>
        </w:rPr>
        <w:t xml:space="preserve"> optreden </w:t>
      </w:r>
      <w:r w:rsidR="001E09A9">
        <w:rPr>
          <w:rFonts w:cs="Times New Roman"/>
          <w:szCs w:val="20"/>
        </w:rPr>
        <w:t>om</w:t>
      </w:r>
      <w:r w:rsidR="00AC11F4">
        <w:rPr>
          <w:rFonts w:cs="Times New Roman"/>
          <w:szCs w:val="20"/>
        </w:rPr>
        <w:t xml:space="preserve"> een schadevergoeding voor de</w:t>
      </w:r>
      <w:r w:rsidR="00051A0D" w:rsidRPr="003F79F4">
        <w:rPr>
          <w:rFonts w:cs="Times New Roman"/>
          <w:szCs w:val="20"/>
        </w:rPr>
        <w:t xml:space="preserve"> negatieve uitkomsten van de beleggingsbeslissing</w:t>
      </w:r>
      <w:r w:rsidR="001E09A9">
        <w:rPr>
          <w:rFonts w:cs="Times New Roman"/>
          <w:szCs w:val="20"/>
        </w:rPr>
        <w:t xml:space="preserve"> te beko</w:t>
      </w:r>
      <w:r w:rsidR="0007006A">
        <w:rPr>
          <w:rFonts w:cs="Times New Roman"/>
          <w:szCs w:val="20"/>
        </w:rPr>
        <w:softHyphen/>
      </w:r>
      <w:r w:rsidR="001E09A9">
        <w:rPr>
          <w:rFonts w:cs="Times New Roman"/>
          <w:szCs w:val="20"/>
        </w:rPr>
        <w:t>men</w:t>
      </w:r>
      <w:r w:rsidR="00051A0D" w:rsidRPr="003F79F4">
        <w:rPr>
          <w:rFonts w:cs="Times New Roman"/>
          <w:szCs w:val="20"/>
        </w:rPr>
        <w:t xml:space="preserve">. </w:t>
      </w:r>
      <w:r w:rsidR="00ED4079">
        <w:rPr>
          <w:rFonts w:cs="Times New Roman"/>
          <w:szCs w:val="20"/>
        </w:rPr>
        <w:t>D</w:t>
      </w:r>
      <w:r w:rsidR="00051A0D" w:rsidRPr="003F79F4">
        <w:rPr>
          <w:rFonts w:cs="Times New Roman"/>
          <w:szCs w:val="20"/>
        </w:rPr>
        <w:t>e FSMA mag</w:t>
      </w:r>
      <w:r w:rsidR="00ED4079">
        <w:rPr>
          <w:rFonts w:cs="Times New Roman"/>
          <w:szCs w:val="20"/>
        </w:rPr>
        <w:t xml:space="preserve"> daarentegen ook </w:t>
      </w:r>
      <w:r w:rsidR="00ED4079" w:rsidRPr="003F79F4">
        <w:rPr>
          <w:rFonts w:cs="Times New Roman"/>
          <w:szCs w:val="20"/>
        </w:rPr>
        <w:t>overgaan tot een</w:t>
      </w:r>
      <w:r w:rsidR="00ED4079">
        <w:rPr>
          <w:rFonts w:cs="Times New Roman"/>
          <w:szCs w:val="20"/>
        </w:rPr>
        <w:t xml:space="preserve"> publiekrechtelijke</w:t>
      </w:r>
      <w:r w:rsidR="00ED4079" w:rsidRPr="003F79F4">
        <w:rPr>
          <w:rFonts w:cs="Times New Roman"/>
          <w:szCs w:val="20"/>
        </w:rPr>
        <w:t xml:space="preserve"> sanctie </w:t>
      </w:r>
      <w:r w:rsidR="00ED4079">
        <w:rPr>
          <w:rFonts w:cs="Times New Roman"/>
          <w:szCs w:val="20"/>
        </w:rPr>
        <w:t>ten aanzien van de gereglemen</w:t>
      </w:r>
      <w:r w:rsidR="0007006A">
        <w:rPr>
          <w:rFonts w:cs="Times New Roman"/>
          <w:szCs w:val="20"/>
        </w:rPr>
        <w:softHyphen/>
      </w:r>
      <w:r w:rsidR="00ED4079">
        <w:rPr>
          <w:rFonts w:cs="Times New Roman"/>
          <w:szCs w:val="20"/>
        </w:rPr>
        <w:t>teerde onderneming</w:t>
      </w:r>
      <w:r w:rsidR="00ED4079">
        <w:rPr>
          <w:rStyle w:val="Voetnootmarkering"/>
          <w:rFonts w:cs="Times New Roman"/>
          <w:szCs w:val="20"/>
        </w:rPr>
        <w:footnoteReference w:id="122"/>
      </w:r>
      <w:r w:rsidR="00ED4079">
        <w:rPr>
          <w:rFonts w:cs="Times New Roman"/>
          <w:szCs w:val="20"/>
        </w:rPr>
        <w:t xml:space="preserve"> wanneer een</w:t>
      </w:r>
      <w:r w:rsidR="00051A0D" w:rsidRPr="003F79F4">
        <w:rPr>
          <w:rFonts w:cs="Times New Roman"/>
          <w:szCs w:val="20"/>
        </w:rPr>
        <w:t xml:space="preserve"> schending </w:t>
      </w:r>
      <w:r w:rsidR="00ED4079">
        <w:rPr>
          <w:rFonts w:cs="Times New Roman"/>
          <w:szCs w:val="20"/>
        </w:rPr>
        <w:t>op grond van</w:t>
      </w:r>
      <w:r w:rsidR="00051A0D" w:rsidRPr="003F79F4">
        <w:rPr>
          <w:rFonts w:cs="Times New Roman"/>
          <w:szCs w:val="20"/>
        </w:rPr>
        <w:t xml:space="preserve"> de zorgplicht</w:t>
      </w:r>
      <w:r w:rsidR="00ED4079">
        <w:rPr>
          <w:rFonts w:cs="Times New Roman"/>
          <w:szCs w:val="20"/>
        </w:rPr>
        <w:t xml:space="preserve"> wordt ingeroepen</w:t>
      </w:r>
      <w:r w:rsidR="00051A0D" w:rsidRPr="003F79F4">
        <w:rPr>
          <w:rFonts w:cs="Times New Roman"/>
          <w:szCs w:val="20"/>
        </w:rPr>
        <w:t>.</w:t>
      </w:r>
      <w:r w:rsidR="00051A0D">
        <w:rPr>
          <w:rStyle w:val="Voetnootmarkering"/>
          <w:rFonts w:cs="Times New Roman"/>
          <w:szCs w:val="20"/>
        </w:rPr>
        <w:footnoteReference w:id="123"/>
      </w:r>
      <w:bookmarkEnd w:id="17"/>
    </w:p>
    <w:p w:rsidR="00C368B8" w:rsidRDefault="003F79F4" w:rsidP="00163A9C">
      <w:pPr>
        <w:spacing w:line="276" w:lineRule="auto"/>
        <w:rPr>
          <w:rFonts w:cs="Times New Roman"/>
          <w:szCs w:val="20"/>
        </w:rPr>
      </w:pPr>
      <w:r>
        <w:rPr>
          <w:rFonts w:cs="Times New Roman"/>
          <w:szCs w:val="20"/>
        </w:rPr>
        <w:t>Een tweede situatie heeft betrekking op een aanbieder van een financieel product die een reglement van de FSMA wil laten nietig verklaren bij de Raad van State.</w:t>
      </w:r>
      <w:r w:rsidR="00274E8D">
        <w:rPr>
          <w:rFonts w:cs="Times New Roman"/>
          <w:szCs w:val="20"/>
        </w:rPr>
        <w:t xml:space="preserve"> Wanneer een reglement een financieel product wil verbieden of aan beperkende voorwaarden wil onderwerpen, kan een aanbieder van datzelfde product als belanghebbende een verzoekschrift tot nietigverklaring instellen.</w:t>
      </w:r>
      <w:r>
        <w:rPr>
          <w:rFonts w:cs="Times New Roman"/>
          <w:szCs w:val="20"/>
        </w:rPr>
        <w:t xml:space="preserve"> </w:t>
      </w:r>
      <w:r w:rsidR="003A0541" w:rsidRPr="003A0541">
        <w:rPr>
          <w:rFonts w:cs="Times New Roman"/>
          <w:szCs w:val="20"/>
        </w:rPr>
        <w:t xml:space="preserve">Uit </w:t>
      </w:r>
      <w:r>
        <w:rPr>
          <w:rFonts w:cs="Times New Roman"/>
          <w:szCs w:val="20"/>
        </w:rPr>
        <w:t>een</w:t>
      </w:r>
      <w:r w:rsidR="003A0541" w:rsidRPr="003A0541">
        <w:rPr>
          <w:rFonts w:cs="Times New Roman"/>
          <w:szCs w:val="20"/>
        </w:rPr>
        <w:t xml:space="preserve"> arrest bleek onder meer dat het volstaat voor de ontvankelijk</w:t>
      </w:r>
      <w:r w:rsidR="0007006A">
        <w:rPr>
          <w:rFonts w:cs="Times New Roman"/>
          <w:szCs w:val="20"/>
        </w:rPr>
        <w:softHyphen/>
      </w:r>
      <w:r w:rsidR="003A0541" w:rsidRPr="003A0541">
        <w:rPr>
          <w:rFonts w:cs="Times New Roman"/>
          <w:szCs w:val="20"/>
        </w:rPr>
        <w:t xml:space="preserve">heid om een procedure in te stellen tegen het KB op zich om het reglement te betwisten. </w:t>
      </w:r>
      <w:r>
        <w:rPr>
          <w:rFonts w:cs="Times New Roman"/>
          <w:szCs w:val="20"/>
        </w:rPr>
        <w:t xml:space="preserve">In geval van </w:t>
      </w:r>
      <w:r w:rsidR="00274E8D">
        <w:rPr>
          <w:rFonts w:cs="Times New Roman"/>
          <w:szCs w:val="20"/>
        </w:rPr>
        <w:t>nietigver</w:t>
      </w:r>
      <w:r w:rsidR="0007006A">
        <w:rPr>
          <w:rFonts w:cs="Times New Roman"/>
          <w:szCs w:val="20"/>
        </w:rPr>
        <w:softHyphen/>
      </w:r>
      <w:r w:rsidR="00274E8D">
        <w:rPr>
          <w:rFonts w:cs="Times New Roman"/>
          <w:szCs w:val="20"/>
        </w:rPr>
        <w:t>klaring</w:t>
      </w:r>
      <w:r w:rsidR="003A0541" w:rsidRPr="003A0541">
        <w:rPr>
          <w:rFonts w:cs="Times New Roman"/>
          <w:szCs w:val="20"/>
        </w:rPr>
        <w:t xml:space="preserve"> van het KB, </w:t>
      </w:r>
      <w:r w:rsidR="005704B3">
        <w:rPr>
          <w:rFonts w:cs="Times New Roman"/>
          <w:szCs w:val="20"/>
        </w:rPr>
        <w:t xml:space="preserve">zou een </w:t>
      </w:r>
      <w:r w:rsidR="003A0541" w:rsidRPr="003A0541">
        <w:rPr>
          <w:rFonts w:cs="Times New Roman"/>
          <w:szCs w:val="20"/>
        </w:rPr>
        <w:t>reglement</w:t>
      </w:r>
      <w:r w:rsidR="005704B3">
        <w:rPr>
          <w:rFonts w:cs="Times New Roman"/>
          <w:szCs w:val="20"/>
        </w:rPr>
        <w:t xml:space="preserve"> dus</w:t>
      </w:r>
      <w:r w:rsidR="003A0541" w:rsidRPr="003A0541">
        <w:rPr>
          <w:rFonts w:cs="Times New Roman"/>
          <w:szCs w:val="20"/>
        </w:rPr>
        <w:t xml:space="preserve"> geen rechtsgevol</w:t>
      </w:r>
      <w:r w:rsidR="004C4D02">
        <w:rPr>
          <w:rFonts w:cs="Times New Roman"/>
          <w:szCs w:val="20"/>
        </w:rPr>
        <w:t xml:space="preserve">gen </w:t>
      </w:r>
      <w:r w:rsidR="00ED4079">
        <w:rPr>
          <w:rFonts w:cs="Times New Roman"/>
          <w:szCs w:val="20"/>
        </w:rPr>
        <w:t xml:space="preserve">meer </w:t>
      </w:r>
      <w:r w:rsidR="004C4D02">
        <w:rPr>
          <w:rFonts w:cs="Times New Roman"/>
          <w:szCs w:val="20"/>
        </w:rPr>
        <w:t xml:space="preserve">kunnen </w:t>
      </w:r>
      <w:r w:rsidR="00ED4079">
        <w:rPr>
          <w:rFonts w:cs="Times New Roman"/>
          <w:szCs w:val="20"/>
        </w:rPr>
        <w:t xml:space="preserve">teweeg </w:t>
      </w:r>
      <w:r w:rsidR="004C4D02">
        <w:rPr>
          <w:rFonts w:cs="Times New Roman"/>
          <w:szCs w:val="20"/>
        </w:rPr>
        <w:t>brengen</w:t>
      </w:r>
      <w:r w:rsidR="003A0541" w:rsidRPr="003A0541">
        <w:rPr>
          <w:rFonts w:cs="Times New Roman"/>
          <w:szCs w:val="20"/>
        </w:rPr>
        <w:t>.</w:t>
      </w:r>
      <w:r w:rsidR="00163A9C">
        <w:rPr>
          <w:rFonts w:cs="Times New Roman"/>
          <w:szCs w:val="20"/>
        </w:rPr>
        <w:t xml:space="preserve"> </w:t>
      </w:r>
      <w:r w:rsidR="003A0541">
        <w:rPr>
          <w:rFonts w:cs="Times New Roman"/>
          <w:szCs w:val="20"/>
        </w:rPr>
        <w:t>Het volstaat</w:t>
      </w:r>
      <w:r w:rsidR="00ED4079">
        <w:rPr>
          <w:rFonts w:cs="Times New Roman"/>
          <w:szCs w:val="20"/>
        </w:rPr>
        <w:t xml:space="preserve"> bo</w:t>
      </w:r>
      <w:r w:rsidR="0007006A">
        <w:rPr>
          <w:rFonts w:cs="Times New Roman"/>
          <w:szCs w:val="20"/>
        </w:rPr>
        <w:softHyphen/>
      </w:r>
      <w:r w:rsidR="00ED4079">
        <w:rPr>
          <w:rFonts w:cs="Times New Roman"/>
          <w:szCs w:val="20"/>
        </w:rPr>
        <w:t>vendien</w:t>
      </w:r>
      <w:r w:rsidR="003A0541">
        <w:rPr>
          <w:rFonts w:cs="Times New Roman"/>
          <w:szCs w:val="20"/>
        </w:rPr>
        <w:t xml:space="preserve"> </w:t>
      </w:r>
      <w:r w:rsidR="00274E8D">
        <w:rPr>
          <w:rFonts w:cs="Times New Roman"/>
          <w:szCs w:val="20"/>
        </w:rPr>
        <w:t>dat</w:t>
      </w:r>
      <w:r w:rsidR="003A0541">
        <w:rPr>
          <w:rFonts w:cs="Times New Roman"/>
          <w:szCs w:val="20"/>
        </w:rPr>
        <w:t xml:space="preserve"> de</w:t>
      </w:r>
      <w:r w:rsidR="00163A9C">
        <w:rPr>
          <w:rFonts w:cs="Times New Roman"/>
          <w:szCs w:val="20"/>
        </w:rPr>
        <w:t xml:space="preserve"> verzoeker </w:t>
      </w:r>
      <w:r w:rsidR="00274E8D">
        <w:rPr>
          <w:rFonts w:cs="Times New Roman"/>
          <w:szCs w:val="20"/>
        </w:rPr>
        <w:t>s</w:t>
      </w:r>
      <w:r w:rsidR="00163A9C">
        <w:rPr>
          <w:rFonts w:cs="Times New Roman"/>
          <w:szCs w:val="20"/>
        </w:rPr>
        <w:t>lechts een van meerdere geviseerde producten</w:t>
      </w:r>
      <w:r w:rsidR="00274E8D">
        <w:rPr>
          <w:rFonts w:cs="Times New Roman"/>
          <w:szCs w:val="20"/>
        </w:rPr>
        <w:t xml:space="preserve"> aanbood om het gehele reglement te laten vernietigen.</w:t>
      </w:r>
      <w:r w:rsidR="00274E8D">
        <w:rPr>
          <w:rStyle w:val="Voetnootmarkering"/>
          <w:rFonts w:cs="Times New Roman"/>
          <w:szCs w:val="20"/>
        </w:rPr>
        <w:footnoteReference w:id="124"/>
      </w:r>
      <w:r w:rsidR="00F71630">
        <w:rPr>
          <w:rFonts w:cs="Times New Roman"/>
          <w:szCs w:val="20"/>
        </w:rPr>
        <w:t xml:space="preserve"> De verzoeker kan daarbij de wettigheid van het reglement weerleggen wanneer bijvoorbeeld het advies van de raad van toezicht niet werd ingewonnen. De opportuniteit van de </w:t>
      </w:r>
      <w:r w:rsidR="00232863">
        <w:rPr>
          <w:rFonts w:cs="Times New Roman"/>
          <w:szCs w:val="20"/>
        </w:rPr>
        <w:t>noodzaak</w:t>
      </w:r>
      <w:r w:rsidR="00F71630">
        <w:rPr>
          <w:rFonts w:cs="Times New Roman"/>
          <w:szCs w:val="20"/>
        </w:rPr>
        <w:t xml:space="preserve"> om een reglement te nemen</w:t>
      </w:r>
      <w:r w:rsidR="00232863">
        <w:rPr>
          <w:rFonts w:cs="Times New Roman"/>
          <w:szCs w:val="20"/>
        </w:rPr>
        <w:t xml:space="preserve"> dat noodzakelijk is om afnemers van financiële producten</w:t>
      </w:r>
      <w:r w:rsidR="00F71630">
        <w:rPr>
          <w:rFonts w:cs="Times New Roman"/>
          <w:szCs w:val="20"/>
        </w:rPr>
        <w:t xml:space="preserve"> </w:t>
      </w:r>
      <w:r w:rsidR="00232863">
        <w:rPr>
          <w:rFonts w:cs="Times New Roman"/>
          <w:szCs w:val="20"/>
        </w:rPr>
        <w:t xml:space="preserve">te beschermen </w:t>
      </w:r>
      <w:r w:rsidR="00F71630">
        <w:rPr>
          <w:rFonts w:cs="Times New Roman"/>
          <w:szCs w:val="20"/>
        </w:rPr>
        <w:t xml:space="preserve">ligt daarentegen bij de FSMA. De verzoeker kan zich beroepen op de beginselen van behoorlijk bestuur zoals de zorgvuldigheidsplicht en het </w:t>
      </w:r>
      <w:r w:rsidR="00232863">
        <w:rPr>
          <w:rFonts w:cs="Times New Roman"/>
          <w:szCs w:val="20"/>
        </w:rPr>
        <w:t>rede</w:t>
      </w:r>
      <w:r w:rsidR="0007006A">
        <w:rPr>
          <w:rFonts w:cs="Times New Roman"/>
          <w:szCs w:val="20"/>
        </w:rPr>
        <w:softHyphen/>
      </w:r>
      <w:r w:rsidR="00232863">
        <w:rPr>
          <w:rFonts w:cs="Times New Roman"/>
          <w:szCs w:val="20"/>
        </w:rPr>
        <w:t>lijk</w:t>
      </w:r>
      <w:r w:rsidR="00F71630">
        <w:rPr>
          <w:rFonts w:cs="Times New Roman"/>
          <w:szCs w:val="20"/>
        </w:rPr>
        <w:t>heidsbeginsel</w:t>
      </w:r>
      <w:r w:rsidR="00232863">
        <w:rPr>
          <w:rFonts w:cs="Times New Roman"/>
          <w:szCs w:val="20"/>
        </w:rPr>
        <w:t xml:space="preserve"> (d.i. de evenredigheid) die deze opportuniteit begrenzen. Staan de maatregelen in het betrokken reglement bijvoorbeeld in een redelijke verhouding ten opzichte van het beoogde doel (bescherming van bepaalde afnemers)? Bij de beoordeling van de</w:t>
      </w:r>
      <w:r w:rsidR="005704B3">
        <w:rPr>
          <w:rFonts w:cs="Times New Roman"/>
          <w:szCs w:val="20"/>
        </w:rPr>
        <w:t>ze</w:t>
      </w:r>
      <w:r w:rsidR="00232863">
        <w:rPr>
          <w:rFonts w:cs="Times New Roman"/>
          <w:szCs w:val="20"/>
        </w:rPr>
        <w:t xml:space="preserve"> opportuniteit zal de Raad zich evenwel moeten beperken tot een marginale toetsing.</w:t>
      </w:r>
      <w:r w:rsidR="00232863">
        <w:rPr>
          <w:rStyle w:val="Voetnootmarkering"/>
          <w:rFonts w:cs="Times New Roman"/>
          <w:szCs w:val="20"/>
        </w:rPr>
        <w:footnoteReference w:id="125"/>
      </w:r>
    </w:p>
    <w:p w:rsidR="00966AE0" w:rsidRDefault="00966AE0" w:rsidP="00253E6B">
      <w:pPr>
        <w:spacing w:line="276" w:lineRule="auto"/>
        <w:rPr>
          <w:rFonts w:cs="Times New Roman"/>
          <w:b/>
          <w:szCs w:val="20"/>
        </w:rPr>
      </w:pPr>
      <w:r w:rsidRPr="00966AE0">
        <w:rPr>
          <w:rFonts w:cs="Times New Roman"/>
          <w:b/>
          <w:szCs w:val="20"/>
        </w:rPr>
        <w:t>V. Enkele slotbeschouwingen</w:t>
      </w:r>
    </w:p>
    <w:p w:rsidR="00770F8B" w:rsidRDefault="007739A6" w:rsidP="005D35E1">
      <w:pPr>
        <w:pStyle w:val="Lijstalinea"/>
        <w:numPr>
          <w:ilvl w:val="0"/>
          <w:numId w:val="3"/>
        </w:numPr>
        <w:spacing w:line="276" w:lineRule="auto"/>
        <w:rPr>
          <w:rFonts w:cs="Times New Roman"/>
          <w:szCs w:val="20"/>
        </w:rPr>
      </w:pPr>
      <w:r w:rsidRPr="007739A6">
        <w:rPr>
          <w:rFonts w:cs="Times New Roman"/>
          <w:i/>
          <w:szCs w:val="20"/>
        </w:rPr>
        <w:t>Beperkt belang?</w:t>
      </w:r>
      <w:r>
        <w:rPr>
          <w:rFonts w:cs="Times New Roman"/>
          <w:szCs w:val="20"/>
        </w:rPr>
        <w:t xml:space="preserve"> </w:t>
      </w:r>
      <w:r w:rsidRPr="00643C19">
        <w:t>‒</w:t>
      </w:r>
      <w:r>
        <w:rPr>
          <w:rFonts w:cs="Times New Roman"/>
          <w:szCs w:val="20"/>
        </w:rPr>
        <w:t xml:space="preserve"> </w:t>
      </w:r>
      <w:r w:rsidR="00B674DF" w:rsidRPr="005D35E1">
        <w:rPr>
          <w:rFonts w:cs="Times New Roman"/>
          <w:szCs w:val="20"/>
        </w:rPr>
        <w:t xml:space="preserve">Uit de juridische-technische analyse van </w:t>
      </w:r>
      <w:r w:rsidR="00772DF2">
        <w:rPr>
          <w:rFonts w:cs="Times New Roman"/>
          <w:szCs w:val="20"/>
        </w:rPr>
        <w:t xml:space="preserve">het wetsartikel </w:t>
      </w:r>
      <w:r w:rsidR="00B674DF" w:rsidRPr="005D35E1">
        <w:rPr>
          <w:rFonts w:cs="Times New Roman"/>
          <w:szCs w:val="20"/>
        </w:rPr>
        <w:t xml:space="preserve">artikel </w:t>
      </w:r>
      <w:r w:rsidR="00182584">
        <w:rPr>
          <w:rFonts w:cs="Times New Roman"/>
          <w:szCs w:val="20"/>
        </w:rPr>
        <w:t>bleek</w:t>
      </w:r>
      <w:r w:rsidR="00B674DF" w:rsidRPr="005D35E1">
        <w:rPr>
          <w:rFonts w:cs="Times New Roman"/>
          <w:szCs w:val="20"/>
        </w:rPr>
        <w:t xml:space="preserve"> ten eerste dat de mo</w:t>
      </w:r>
      <w:r w:rsidR="0007006A">
        <w:rPr>
          <w:rFonts w:cs="Times New Roman"/>
          <w:szCs w:val="20"/>
        </w:rPr>
        <w:softHyphen/>
      </w:r>
      <w:r w:rsidR="00B674DF" w:rsidRPr="005D35E1">
        <w:rPr>
          <w:rFonts w:cs="Times New Roman"/>
          <w:szCs w:val="20"/>
        </w:rPr>
        <w:t xml:space="preserve">gelijkheid om reglementen te nemen voor de FSMA zeer soepel en ruim is. </w:t>
      </w:r>
      <w:r w:rsidR="00140B5D" w:rsidRPr="005D35E1">
        <w:rPr>
          <w:rFonts w:cs="Times New Roman"/>
          <w:szCs w:val="20"/>
        </w:rPr>
        <w:t>De draagwijdte van artikel 30</w:t>
      </w:r>
      <w:r w:rsidR="00140B5D" w:rsidRPr="005D35E1">
        <w:rPr>
          <w:rFonts w:cs="Times New Roman"/>
          <w:i/>
          <w:szCs w:val="20"/>
        </w:rPr>
        <w:t>bis</w:t>
      </w:r>
      <w:r w:rsidR="00140B5D" w:rsidRPr="005D35E1">
        <w:rPr>
          <w:rFonts w:cs="Times New Roman"/>
          <w:szCs w:val="20"/>
        </w:rPr>
        <w:t xml:space="preserve"> WFT </w:t>
      </w:r>
      <w:r w:rsidR="00772DF2">
        <w:rPr>
          <w:rFonts w:cs="Times New Roman"/>
          <w:szCs w:val="20"/>
        </w:rPr>
        <w:t>wordt echter</w:t>
      </w:r>
      <w:r w:rsidR="00140B5D" w:rsidRPr="005D35E1">
        <w:rPr>
          <w:rFonts w:cs="Times New Roman"/>
          <w:szCs w:val="20"/>
        </w:rPr>
        <w:t xml:space="preserve"> in de eerste plaats</w:t>
      </w:r>
      <w:r w:rsidR="00B674DF" w:rsidRPr="005D35E1">
        <w:rPr>
          <w:rFonts w:cs="Times New Roman"/>
          <w:szCs w:val="20"/>
        </w:rPr>
        <w:t xml:space="preserve"> echter</w:t>
      </w:r>
      <w:r w:rsidR="00140B5D" w:rsidRPr="005D35E1">
        <w:rPr>
          <w:rFonts w:cs="Times New Roman"/>
          <w:szCs w:val="20"/>
        </w:rPr>
        <w:t xml:space="preserve"> sterk beperkt door de invoering van daarmee overlappende </w:t>
      </w:r>
      <w:r w:rsidR="005704B3">
        <w:rPr>
          <w:rFonts w:cs="Times New Roman"/>
          <w:szCs w:val="20"/>
        </w:rPr>
        <w:t>verordeningen</w:t>
      </w:r>
      <w:r w:rsidR="00140B5D" w:rsidRPr="005D35E1">
        <w:rPr>
          <w:rFonts w:cs="Times New Roman"/>
          <w:szCs w:val="20"/>
        </w:rPr>
        <w:t xml:space="preserve"> op Europeesrechtelijk niveau.</w:t>
      </w:r>
      <w:r w:rsidR="00B674DF" w:rsidRPr="005D35E1">
        <w:rPr>
          <w:rFonts w:cs="Times New Roman"/>
          <w:szCs w:val="20"/>
        </w:rPr>
        <w:t xml:space="preserve"> </w:t>
      </w:r>
      <w:r w:rsidR="005704B3">
        <w:rPr>
          <w:rFonts w:cs="Times New Roman"/>
          <w:szCs w:val="20"/>
        </w:rPr>
        <w:t>Sinds de inwerkingtreding van MiFIR en PRIIPS lijkt het hoogst onwaarschijnlijk dat</w:t>
      </w:r>
      <w:r w:rsidR="00B674DF" w:rsidRPr="005D35E1">
        <w:rPr>
          <w:rFonts w:cs="Times New Roman"/>
          <w:szCs w:val="20"/>
        </w:rPr>
        <w:t xml:space="preserve"> productinterventies</w:t>
      </w:r>
      <w:r w:rsidR="005704B3">
        <w:rPr>
          <w:rFonts w:cs="Times New Roman"/>
          <w:szCs w:val="20"/>
        </w:rPr>
        <w:t xml:space="preserve"> nog</w:t>
      </w:r>
      <w:r w:rsidR="00B674DF" w:rsidRPr="005D35E1">
        <w:rPr>
          <w:rFonts w:cs="Times New Roman"/>
          <w:szCs w:val="20"/>
        </w:rPr>
        <w:t xml:space="preserve"> zullen worden genomen naar Belgisch recht.</w:t>
      </w:r>
      <w:r>
        <w:rPr>
          <w:rFonts w:cs="Times New Roman"/>
          <w:szCs w:val="20"/>
        </w:rPr>
        <w:t xml:space="preserve"> Van de reeds bestaande reglementen kan wel nog enige werking uitgaan </w:t>
      </w:r>
      <w:r w:rsidR="00052A60">
        <w:rPr>
          <w:rFonts w:cs="Times New Roman"/>
          <w:szCs w:val="20"/>
        </w:rPr>
        <w:t>in de mate</w:t>
      </w:r>
      <w:r w:rsidR="005704B3">
        <w:rPr>
          <w:rFonts w:cs="Times New Roman"/>
          <w:szCs w:val="20"/>
        </w:rPr>
        <w:t xml:space="preserve"> zij worden ingepast in de strengere voorwaarden van de geharmoniseerde productinterventieregimes.</w:t>
      </w:r>
      <w:r w:rsidR="00052A60">
        <w:rPr>
          <w:rFonts w:cs="Times New Roman"/>
          <w:szCs w:val="20"/>
        </w:rPr>
        <w:t xml:space="preserve"> </w:t>
      </w:r>
      <w:r w:rsidR="005704B3">
        <w:rPr>
          <w:rFonts w:cs="Times New Roman"/>
          <w:szCs w:val="20"/>
        </w:rPr>
        <w:t>Is er daarenboven</w:t>
      </w:r>
      <w:r w:rsidR="00052A60">
        <w:rPr>
          <w:rFonts w:cs="Times New Roman"/>
          <w:szCs w:val="20"/>
        </w:rPr>
        <w:t xml:space="preserve"> een ESA-besluit</w:t>
      </w:r>
      <w:r w:rsidR="005704B3">
        <w:rPr>
          <w:rFonts w:cs="Times New Roman"/>
          <w:szCs w:val="20"/>
        </w:rPr>
        <w:t>, dan zal dit</w:t>
      </w:r>
      <w:r w:rsidR="00052A60">
        <w:rPr>
          <w:rFonts w:cs="Times New Roman"/>
          <w:szCs w:val="20"/>
        </w:rPr>
        <w:t xml:space="preserve"> strengere maatregelen uitdrukkelijk </w:t>
      </w:r>
      <w:r w:rsidR="005704B3">
        <w:rPr>
          <w:rFonts w:cs="Times New Roman"/>
          <w:szCs w:val="20"/>
        </w:rPr>
        <w:t>moeten toestaan opdat het reglement gedurende de looptijd van dat besluit niet geschorst is</w:t>
      </w:r>
      <w:r>
        <w:rPr>
          <w:rFonts w:cs="Times New Roman"/>
          <w:szCs w:val="20"/>
        </w:rPr>
        <w:t>.</w:t>
      </w:r>
      <w:r w:rsidR="00052A60">
        <w:rPr>
          <w:rFonts w:cs="Times New Roman"/>
          <w:szCs w:val="20"/>
        </w:rPr>
        <w:t xml:space="preserve"> </w:t>
      </w:r>
      <w:r w:rsidR="002B6A63">
        <w:rPr>
          <w:rFonts w:cs="Times New Roman"/>
          <w:szCs w:val="20"/>
        </w:rPr>
        <w:t>A</w:t>
      </w:r>
      <w:r w:rsidR="00B674DF" w:rsidRPr="005D35E1">
        <w:rPr>
          <w:rFonts w:cs="Times New Roman"/>
          <w:szCs w:val="20"/>
        </w:rPr>
        <w:t>rtikel 30</w:t>
      </w:r>
      <w:r w:rsidR="00B674DF" w:rsidRPr="005D35E1">
        <w:rPr>
          <w:rFonts w:cs="Times New Roman"/>
          <w:i/>
          <w:szCs w:val="20"/>
        </w:rPr>
        <w:t>bis</w:t>
      </w:r>
      <w:r w:rsidR="00B674DF" w:rsidRPr="005D35E1">
        <w:rPr>
          <w:rFonts w:cs="Times New Roman"/>
          <w:szCs w:val="20"/>
        </w:rPr>
        <w:t xml:space="preserve"> WFT </w:t>
      </w:r>
      <w:r w:rsidR="002B6A63">
        <w:rPr>
          <w:rFonts w:cs="Times New Roman"/>
          <w:szCs w:val="20"/>
        </w:rPr>
        <w:t xml:space="preserve">had </w:t>
      </w:r>
      <w:r w:rsidR="00772DF2">
        <w:rPr>
          <w:rFonts w:cs="Times New Roman"/>
          <w:szCs w:val="20"/>
        </w:rPr>
        <w:t xml:space="preserve">daarnaast </w:t>
      </w:r>
      <w:r w:rsidR="00B674DF" w:rsidRPr="005D35E1">
        <w:rPr>
          <w:rFonts w:cs="Times New Roman"/>
          <w:szCs w:val="20"/>
        </w:rPr>
        <w:t xml:space="preserve">op Belgische niveau het gebruik van eenvoudige en gestandaardiseerde informatiedocumenten tot </w:t>
      </w:r>
      <w:r w:rsidR="00B674DF" w:rsidRPr="005D35E1">
        <w:rPr>
          <w:rFonts w:cs="Times New Roman"/>
          <w:szCs w:val="20"/>
        </w:rPr>
        <w:lastRenderedPageBreak/>
        <w:t xml:space="preserve">stand </w:t>
      </w:r>
      <w:r w:rsidR="002B6A63">
        <w:rPr>
          <w:rFonts w:cs="Times New Roman"/>
          <w:szCs w:val="20"/>
        </w:rPr>
        <w:t xml:space="preserve">kunnen </w:t>
      </w:r>
      <w:r w:rsidR="00B674DF" w:rsidRPr="005D35E1">
        <w:rPr>
          <w:rFonts w:cs="Times New Roman"/>
          <w:szCs w:val="20"/>
        </w:rPr>
        <w:t xml:space="preserve">brengen die een vergelijkbaarheid tussen alle financiële producten in de hand </w:t>
      </w:r>
      <w:r w:rsidR="005704B3">
        <w:rPr>
          <w:rFonts w:cs="Times New Roman"/>
          <w:szCs w:val="20"/>
        </w:rPr>
        <w:t xml:space="preserve">kon </w:t>
      </w:r>
      <w:r w:rsidR="00B674DF" w:rsidRPr="005D35E1">
        <w:rPr>
          <w:rFonts w:cs="Times New Roman"/>
          <w:szCs w:val="20"/>
        </w:rPr>
        <w:t>werkt</w:t>
      </w:r>
      <w:r w:rsidR="005704B3">
        <w:rPr>
          <w:rFonts w:cs="Times New Roman"/>
          <w:szCs w:val="20"/>
        </w:rPr>
        <w:t>en</w:t>
      </w:r>
      <w:r w:rsidR="00B674DF" w:rsidRPr="005D35E1">
        <w:rPr>
          <w:rFonts w:cs="Times New Roman"/>
          <w:szCs w:val="20"/>
        </w:rPr>
        <w:t>.</w:t>
      </w:r>
      <w:r w:rsidR="005704B3">
        <w:rPr>
          <w:rFonts w:cs="Times New Roman"/>
          <w:szCs w:val="20"/>
        </w:rPr>
        <w:t xml:space="preserve"> Financi</w:t>
      </w:r>
      <w:r w:rsidR="0007006A">
        <w:rPr>
          <w:rFonts w:cs="Times New Roman"/>
          <w:szCs w:val="20"/>
        </w:rPr>
        <w:softHyphen/>
      </w:r>
      <w:r w:rsidR="005704B3">
        <w:rPr>
          <w:rFonts w:cs="Times New Roman"/>
          <w:szCs w:val="20"/>
        </w:rPr>
        <w:t>ële producten die buiten het toepassingsgebied van PRIIPS vielen konden het voorwerp zijn geweest van gelijk</w:t>
      </w:r>
      <w:r w:rsidR="0007006A">
        <w:rPr>
          <w:rFonts w:cs="Times New Roman"/>
          <w:szCs w:val="20"/>
        </w:rPr>
        <w:softHyphen/>
      </w:r>
      <w:r w:rsidR="005704B3">
        <w:rPr>
          <w:rFonts w:cs="Times New Roman"/>
          <w:szCs w:val="20"/>
        </w:rPr>
        <w:t>vormige essentiële informatiedocumenten.</w:t>
      </w:r>
      <w:r w:rsidR="00FB583D">
        <w:rPr>
          <w:rFonts w:cs="Times New Roman"/>
          <w:szCs w:val="20"/>
        </w:rPr>
        <w:t xml:space="preserve"> Op die wijze </w:t>
      </w:r>
      <w:r w:rsidR="002B6A63">
        <w:rPr>
          <w:rFonts w:cs="Times New Roman"/>
          <w:szCs w:val="20"/>
        </w:rPr>
        <w:t>hadden</w:t>
      </w:r>
      <w:r w:rsidR="00FB583D">
        <w:rPr>
          <w:rFonts w:cs="Times New Roman"/>
          <w:szCs w:val="20"/>
        </w:rPr>
        <w:t xml:space="preserve"> afnemers niet alleen de risico</w:t>
      </w:r>
      <w:r w:rsidR="00C7588A">
        <w:rPr>
          <w:rFonts w:cs="Times New Roman"/>
          <w:szCs w:val="20"/>
        </w:rPr>
        <w:t>’s</w:t>
      </w:r>
      <w:r w:rsidR="00FB583D">
        <w:rPr>
          <w:rFonts w:cs="Times New Roman"/>
          <w:szCs w:val="20"/>
        </w:rPr>
        <w:t xml:space="preserve"> op verlies van beleggingsproducten met derivatenwerking </w:t>
      </w:r>
      <w:r w:rsidR="00772DF2">
        <w:rPr>
          <w:rFonts w:cs="Times New Roman"/>
          <w:szCs w:val="20"/>
        </w:rPr>
        <w:t xml:space="preserve">kunnen </w:t>
      </w:r>
      <w:r w:rsidR="00FB583D">
        <w:rPr>
          <w:rFonts w:cs="Times New Roman"/>
          <w:szCs w:val="20"/>
        </w:rPr>
        <w:t>vergelijken</w:t>
      </w:r>
      <w:r w:rsidR="00C7588A">
        <w:rPr>
          <w:rFonts w:cs="Times New Roman"/>
          <w:szCs w:val="20"/>
        </w:rPr>
        <w:t xml:space="preserve"> en daardoor inschatten</w:t>
      </w:r>
      <w:r w:rsidR="00FB583D">
        <w:rPr>
          <w:rFonts w:cs="Times New Roman"/>
          <w:szCs w:val="20"/>
        </w:rPr>
        <w:t>, maar bijvoorbeeld ook</w:t>
      </w:r>
      <w:r w:rsidR="00C7588A">
        <w:rPr>
          <w:rFonts w:cs="Times New Roman"/>
          <w:szCs w:val="20"/>
        </w:rPr>
        <w:t xml:space="preserve"> ten aanzien van gewone aandelen. Hoewel deze laatste weinig complex is, kan een gestandaardiseerd informatiedocu</w:t>
      </w:r>
      <w:r w:rsidR="0007006A">
        <w:rPr>
          <w:rFonts w:cs="Times New Roman"/>
          <w:szCs w:val="20"/>
        </w:rPr>
        <w:softHyphen/>
      </w:r>
      <w:r w:rsidR="00C7588A">
        <w:rPr>
          <w:rFonts w:cs="Times New Roman"/>
          <w:szCs w:val="20"/>
        </w:rPr>
        <w:t xml:space="preserve">ment de </w:t>
      </w:r>
      <w:r w:rsidR="00AD278D">
        <w:rPr>
          <w:rFonts w:cs="Times New Roman"/>
          <w:szCs w:val="20"/>
        </w:rPr>
        <w:t>(</w:t>
      </w:r>
      <w:r w:rsidR="00C7588A">
        <w:rPr>
          <w:rFonts w:cs="Times New Roman"/>
          <w:szCs w:val="20"/>
        </w:rPr>
        <w:t>niet-professionele</w:t>
      </w:r>
      <w:r w:rsidR="00AD278D">
        <w:rPr>
          <w:rFonts w:cs="Times New Roman"/>
          <w:szCs w:val="20"/>
        </w:rPr>
        <w:t>)</w:t>
      </w:r>
      <w:r w:rsidR="00C7588A">
        <w:rPr>
          <w:rFonts w:cs="Times New Roman"/>
          <w:szCs w:val="20"/>
        </w:rPr>
        <w:t xml:space="preserve"> belegger erop wijzen dat deze ook een groot risico op verlies </w:t>
      </w:r>
      <w:r w:rsidR="00772DF2">
        <w:rPr>
          <w:rFonts w:cs="Times New Roman"/>
          <w:szCs w:val="20"/>
        </w:rPr>
        <w:t xml:space="preserve">kunnen </w:t>
      </w:r>
      <w:r w:rsidR="00C7588A">
        <w:rPr>
          <w:rFonts w:cs="Times New Roman"/>
          <w:szCs w:val="20"/>
        </w:rPr>
        <w:t>inhouden.</w:t>
      </w:r>
      <w:r w:rsidR="0054395C">
        <w:rPr>
          <w:rFonts w:cs="Times New Roman"/>
          <w:szCs w:val="20"/>
        </w:rPr>
        <w:t xml:space="preserve"> Deze piste werd echter niet gevolgd, waardoor de reglementen die de transparantie kunnen bevorderen enkel nog in een beperkt aantal situaties denkbaar zijn. Zij kunnen wel nog een nut hebben om bepaalde hiaten in de essentiële en kwalitatieve informatieverstrekking op te vullen.</w:t>
      </w:r>
    </w:p>
    <w:sectPr w:rsidR="00770F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F23" w:rsidRDefault="002E2F23" w:rsidP="00BA5D01">
      <w:pPr>
        <w:spacing w:after="0"/>
      </w:pPr>
      <w:r>
        <w:separator/>
      </w:r>
    </w:p>
  </w:endnote>
  <w:endnote w:type="continuationSeparator" w:id="0">
    <w:p w:rsidR="002E2F23" w:rsidRDefault="002E2F23" w:rsidP="00BA5D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MinionPro-Regular">
    <w:altName w:val="Arial Unicode MS"/>
    <w:charset w:val="00"/>
    <w:family w:val="auto"/>
    <w:pitch w:val="variable"/>
    <w:sig w:usb0="00000000" w:usb1="08070001" w:usb2="00000010" w:usb3="00000000" w:csb0="0002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47163"/>
      <w:docPartObj>
        <w:docPartGallery w:val="Page Numbers (Bottom of Page)"/>
        <w:docPartUnique/>
      </w:docPartObj>
    </w:sdtPr>
    <w:sdtEndPr/>
    <w:sdtContent>
      <w:p w:rsidR="00F84C16" w:rsidRDefault="00F84C16">
        <w:pPr>
          <w:pStyle w:val="Voettekst"/>
          <w:jc w:val="right"/>
        </w:pPr>
        <w:r>
          <w:fldChar w:fldCharType="begin"/>
        </w:r>
        <w:r>
          <w:instrText>PAGE   \* MERGEFORMAT</w:instrText>
        </w:r>
        <w:r>
          <w:fldChar w:fldCharType="separate"/>
        </w:r>
        <w:r w:rsidR="00941820" w:rsidRPr="00941820">
          <w:rPr>
            <w:noProof/>
            <w:lang w:val="nl-NL"/>
          </w:rPr>
          <w:t>1</w:t>
        </w:r>
        <w:r>
          <w:fldChar w:fldCharType="end"/>
        </w:r>
      </w:p>
    </w:sdtContent>
  </w:sdt>
  <w:p w:rsidR="00F84C16" w:rsidRDefault="00F84C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F23" w:rsidRDefault="002E2F23" w:rsidP="00BA5D01">
      <w:pPr>
        <w:spacing w:after="0"/>
      </w:pPr>
      <w:r>
        <w:separator/>
      </w:r>
    </w:p>
  </w:footnote>
  <w:footnote w:type="continuationSeparator" w:id="0">
    <w:p w:rsidR="002E2F23" w:rsidRDefault="002E2F23" w:rsidP="00BA5D01">
      <w:pPr>
        <w:spacing w:after="0"/>
      </w:pPr>
      <w:r>
        <w:continuationSeparator/>
      </w:r>
    </w:p>
  </w:footnote>
  <w:footnote w:id="1">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t>
      </w:r>
      <w:r>
        <w:rPr>
          <w:rFonts w:cs="Times New Roman"/>
          <w:szCs w:val="16"/>
        </w:rPr>
        <w:t xml:space="preserve">Zie bijvoorbeeld de studie van de Britse financiële toezichthouder in 2008, FINANCIAL SERVICES AUTHORITY, </w:t>
      </w:r>
      <w:r w:rsidRPr="0071247A">
        <w:rPr>
          <w:rFonts w:cs="Times New Roman"/>
          <w:i/>
          <w:szCs w:val="16"/>
        </w:rPr>
        <w:t>Financial capability: A Behavioural Economics Perspective</w:t>
      </w:r>
      <w:r>
        <w:rPr>
          <w:rFonts w:cs="Times New Roman"/>
          <w:szCs w:val="16"/>
        </w:rPr>
        <w:t xml:space="preserve">, 1 juli 2008, </w:t>
      </w:r>
      <w:r w:rsidRPr="0071247A">
        <w:rPr>
          <w:rFonts w:cs="Times New Roman"/>
          <w:szCs w:val="16"/>
        </w:rPr>
        <w:t>http://www.fsa.gov.uk/static/pubs/consumer-research/crpr69.pdf</w:t>
      </w:r>
      <w:r>
        <w:rPr>
          <w:rFonts w:cs="Times New Roman"/>
          <w:szCs w:val="16"/>
        </w:rPr>
        <w:t>, 108 p; M. TISON, “</w:t>
      </w:r>
      <w:r w:rsidRPr="00FD46D0">
        <w:rPr>
          <w:rFonts w:cs="Times New Roman"/>
          <w:szCs w:val="16"/>
        </w:rPr>
        <w:t>De intrusieve toezichthouder en het informatieparadigma: Beschouwingen bij de regulering van financiële</w:t>
      </w:r>
      <w:r>
        <w:rPr>
          <w:rFonts w:cs="Times New Roman"/>
          <w:szCs w:val="16"/>
        </w:rPr>
        <w:t xml:space="preserve"> productinterventie” in E. WYMEERSCH, R. HOUBEN en E. DIRIX (eds.), </w:t>
      </w:r>
      <w:r w:rsidRPr="00FD46D0">
        <w:rPr>
          <w:rFonts w:cs="Times New Roman"/>
          <w:i/>
          <w:szCs w:val="16"/>
        </w:rPr>
        <w:t>In het vennootschapsbelang</w:t>
      </w:r>
      <w:r>
        <w:rPr>
          <w:rFonts w:cs="Times New Roman"/>
          <w:szCs w:val="16"/>
        </w:rPr>
        <w:t>, Antwerpen, Intersentia, 2017, (473) 477-479.</w:t>
      </w:r>
    </w:p>
  </w:footnote>
  <w:footnote w:id="2">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t>
      </w:r>
      <w:r>
        <w:rPr>
          <w:rFonts w:cs="Times New Roman"/>
          <w:szCs w:val="16"/>
        </w:rPr>
        <w:t xml:space="preserve">Voor een overzicht, zie </w:t>
      </w:r>
      <w:r w:rsidRPr="0071247A">
        <w:rPr>
          <w:rFonts w:cs="Times New Roman"/>
          <w:szCs w:val="16"/>
        </w:rPr>
        <w:t>A. OEHLER en S. WENDT, “Good Consumer Information: the Information Paradigm at its (Dead</w:t>
      </w:r>
      <w:r>
        <w:rPr>
          <w:rFonts w:cs="Times New Roman"/>
          <w:szCs w:val="16"/>
        </w:rPr>
        <w:t xml:space="preserve">) End?”, </w:t>
      </w:r>
      <w:r w:rsidRPr="0071247A">
        <w:rPr>
          <w:rFonts w:cs="Times New Roman"/>
          <w:i/>
          <w:szCs w:val="16"/>
        </w:rPr>
        <w:t>Springer</w:t>
      </w:r>
      <w:r w:rsidRPr="0071247A">
        <w:rPr>
          <w:rFonts w:cs="Times New Roman"/>
          <w:szCs w:val="16"/>
        </w:rPr>
        <w:t xml:space="preserve"> 2017,</w:t>
      </w:r>
      <w:r>
        <w:rPr>
          <w:rFonts w:cs="Times New Roman"/>
          <w:szCs w:val="16"/>
        </w:rPr>
        <w:t xml:space="preserve"> (179</w:t>
      </w:r>
      <w:r w:rsidRPr="0071247A">
        <w:rPr>
          <w:rFonts w:cs="Times New Roman"/>
          <w:szCs w:val="16"/>
        </w:rPr>
        <w:t>)</w:t>
      </w:r>
      <w:r>
        <w:rPr>
          <w:rFonts w:cs="Times New Roman"/>
          <w:szCs w:val="16"/>
        </w:rPr>
        <w:t xml:space="preserve"> 180-183</w:t>
      </w:r>
      <w:r w:rsidRPr="0071247A">
        <w:rPr>
          <w:rFonts w:cs="Times New Roman"/>
          <w:szCs w:val="16"/>
        </w:rPr>
        <w:t>.</w:t>
      </w:r>
    </w:p>
  </w:footnote>
  <w:footnote w:id="3">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t>
      </w:r>
      <w:r>
        <w:rPr>
          <w:rFonts w:cs="Times New Roman"/>
          <w:szCs w:val="16"/>
        </w:rPr>
        <w:t xml:space="preserve">Art. 9 wet 2 juli 2010 tot </w:t>
      </w:r>
      <w:r w:rsidRPr="003015AA">
        <w:rPr>
          <w:rFonts w:cs="Times New Roman"/>
          <w:szCs w:val="16"/>
        </w:rPr>
        <w:t>wijziging van de wet van 2 augustus 2002</w:t>
      </w:r>
      <w:r>
        <w:rPr>
          <w:rFonts w:cs="Times New Roman"/>
          <w:szCs w:val="16"/>
        </w:rPr>
        <w:t xml:space="preserve"> </w:t>
      </w:r>
      <w:r w:rsidRPr="003015AA">
        <w:rPr>
          <w:rFonts w:cs="Times New Roman"/>
          <w:szCs w:val="16"/>
        </w:rPr>
        <w:t>betreffende het toezicht op de financiële sector en de financiële</w:t>
      </w:r>
      <w:r>
        <w:rPr>
          <w:rFonts w:cs="Times New Roman"/>
          <w:szCs w:val="16"/>
        </w:rPr>
        <w:t xml:space="preserve"> </w:t>
      </w:r>
      <w:r w:rsidRPr="003015AA">
        <w:rPr>
          <w:rFonts w:cs="Times New Roman"/>
          <w:szCs w:val="16"/>
        </w:rPr>
        <w:t>diensten en van de wet van 22 februari 1998 tot vaststelling van het</w:t>
      </w:r>
      <w:r>
        <w:rPr>
          <w:rFonts w:cs="Times New Roman"/>
          <w:szCs w:val="16"/>
        </w:rPr>
        <w:t xml:space="preserve"> </w:t>
      </w:r>
      <w:r w:rsidRPr="003015AA">
        <w:rPr>
          <w:rFonts w:cs="Times New Roman"/>
          <w:szCs w:val="16"/>
        </w:rPr>
        <w:t>organiek statuut van de Nationale Bank van België, en houdende</w:t>
      </w:r>
      <w:r>
        <w:rPr>
          <w:rFonts w:cs="Times New Roman"/>
          <w:szCs w:val="16"/>
        </w:rPr>
        <w:t xml:space="preserve"> diverse bepalingen </w:t>
      </w:r>
      <w:r w:rsidRPr="003015AA">
        <w:rPr>
          <w:rFonts w:cs="Times New Roman"/>
          <w:szCs w:val="16"/>
        </w:rPr>
        <w:t>(1)</w:t>
      </w:r>
      <w:r>
        <w:rPr>
          <w:rFonts w:cs="Times New Roman"/>
          <w:szCs w:val="16"/>
        </w:rPr>
        <w:t xml:space="preserve">, </w:t>
      </w:r>
      <w:r w:rsidRPr="003015AA">
        <w:rPr>
          <w:rFonts w:cs="Times New Roman"/>
          <w:i/>
          <w:szCs w:val="16"/>
        </w:rPr>
        <w:t>BS</w:t>
      </w:r>
      <w:r>
        <w:rPr>
          <w:rFonts w:cs="Times New Roman"/>
          <w:szCs w:val="16"/>
        </w:rPr>
        <w:t xml:space="preserve"> 28 september 2010, 59.140.</w:t>
      </w:r>
    </w:p>
  </w:footnote>
  <w:footnote w:id="4">
    <w:p w:rsidR="00F84C16" w:rsidRPr="00F57C6E" w:rsidRDefault="00F84C16" w:rsidP="00F84C16">
      <w:pPr>
        <w:pStyle w:val="Voetnoottekst"/>
        <w:spacing w:before="0" w:line="276" w:lineRule="auto"/>
      </w:pPr>
      <w:r w:rsidRPr="00F57C6E">
        <w:rPr>
          <w:rStyle w:val="Voetnootmarkering"/>
        </w:rPr>
        <w:footnoteRef/>
      </w:r>
      <w:r w:rsidRPr="00F57C6E">
        <w:t xml:space="preserve"> </w:t>
      </w:r>
      <w:r>
        <w:t xml:space="preserve">Verord.EP en Raad nr. 600/2014, 15 mei 2014 </w:t>
      </w:r>
      <w:r w:rsidRPr="00F57C6E">
        <w:t>betreffende markten in financiële instrumenten en tot wijziging van Verordening (EU) nr. 648/2012</w:t>
      </w:r>
      <w:r>
        <w:t xml:space="preserve">, </w:t>
      </w:r>
      <w:r w:rsidRPr="00F57C6E">
        <w:rPr>
          <w:i/>
        </w:rPr>
        <w:t>Pb.L.</w:t>
      </w:r>
      <w:r>
        <w:t xml:space="preserve"> 12 juni 2014, afl. 173, 84 (hierna: MIFIR).</w:t>
      </w:r>
    </w:p>
  </w:footnote>
  <w:footnote w:id="5">
    <w:p w:rsidR="00F84C16" w:rsidRDefault="00F84C16" w:rsidP="00F84C16">
      <w:pPr>
        <w:pStyle w:val="Voetnoottekst"/>
        <w:spacing w:before="0" w:line="276" w:lineRule="auto"/>
      </w:pPr>
      <w:r w:rsidRPr="00F57C6E">
        <w:rPr>
          <w:rStyle w:val="Voetnootmarkering"/>
        </w:rPr>
        <w:footnoteRef/>
      </w:r>
      <w:r w:rsidRPr="00F57C6E">
        <w:t xml:space="preserve"> </w:t>
      </w:r>
      <w:r>
        <w:t xml:space="preserve">Verord.EP en Raad nr. 1286/2014, 26 november 2014 over essentiële-informatiedocumenten voor verpakte retailbeleggingsproducten en verzekeringsgebaseerde beleggingsproducten (PRIIP’s), </w:t>
      </w:r>
      <w:r w:rsidRPr="00F57C6E">
        <w:rPr>
          <w:i/>
        </w:rPr>
        <w:t>Pb.L.</w:t>
      </w:r>
      <w:r>
        <w:t xml:space="preserve"> 9 december 2014, afl. 352, 1 (hierna: PRIIPS).</w:t>
      </w:r>
    </w:p>
  </w:footnote>
  <w:footnote w:id="6">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Met ingang van 1 januari 2018 werd de ‘Raad voor het Verbruik’ geïntegreerd in de nieuwe ‘bijzondere raadgevende commissie Verbruik’, zie KB 13 december 2017 </w:t>
      </w:r>
      <w:r w:rsidRPr="008D3595">
        <w:rPr>
          <w:rFonts w:cs="Times New Roman"/>
          <w:bCs/>
          <w:szCs w:val="16"/>
        </w:rPr>
        <w:t xml:space="preserve">houdende oprichting van de bijzondere raadgevende commissie " Verbruik " binnen de Centrale Raad voor het Bedrijfsleven en tot opheffing van de Commissie voor Milieu-etikettering en milieureclame, </w:t>
      </w:r>
      <w:r w:rsidRPr="008D3595">
        <w:rPr>
          <w:rFonts w:cs="Times New Roman"/>
          <w:bCs/>
          <w:i/>
          <w:szCs w:val="16"/>
        </w:rPr>
        <w:t>BS</w:t>
      </w:r>
      <w:r w:rsidRPr="008D3595">
        <w:rPr>
          <w:rFonts w:cs="Times New Roman"/>
          <w:bCs/>
          <w:szCs w:val="16"/>
        </w:rPr>
        <w:t xml:space="preserve"> </w:t>
      </w:r>
      <w:r>
        <w:rPr>
          <w:rFonts w:cs="Times New Roman"/>
          <w:bCs/>
          <w:szCs w:val="16"/>
        </w:rPr>
        <w:t xml:space="preserve">28 </w:t>
      </w:r>
      <w:r w:rsidRPr="008D3595">
        <w:rPr>
          <w:rFonts w:cs="Times New Roman"/>
          <w:bCs/>
          <w:szCs w:val="16"/>
        </w:rPr>
        <w:t>december 2017, 115.653.</w:t>
      </w:r>
    </w:p>
  </w:footnote>
  <w:footnote w:id="7">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Pr>
          <w:rFonts w:cs="Times New Roman"/>
          <w:szCs w:val="16"/>
        </w:rPr>
        <w:t xml:space="preserve"> Zie ook art.</w:t>
      </w:r>
      <w:r w:rsidRPr="008D3595">
        <w:rPr>
          <w:rFonts w:cs="Times New Roman"/>
          <w:szCs w:val="16"/>
        </w:rPr>
        <w:t xml:space="preserve"> 49, §3, eerste zin WFT.</w:t>
      </w:r>
    </w:p>
  </w:footnote>
  <w:footnote w:id="8">
    <w:p w:rsidR="00F84C16" w:rsidRDefault="00F84C16" w:rsidP="00F84C16">
      <w:pPr>
        <w:pStyle w:val="Voetnoottekst"/>
        <w:spacing w:before="0" w:line="276" w:lineRule="auto"/>
      </w:pPr>
      <w:r w:rsidRPr="00CF57DD">
        <w:rPr>
          <w:rStyle w:val="Voetnootmarkering"/>
        </w:rPr>
        <w:footnoteRef/>
      </w:r>
      <w:r w:rsidRPr="00CF57DD">
        <w:t xml:space="preserve"> </w:t>
      </w:r>
      <w:r>
        <w:t>Art. 49, §3 WFT.</w:t>
      </w:r>
    </w:p>
  </w:footnote>
  <w:footnote w:id="9">
    <w:p w:rsidR="00F84C16" w:rsidRDefault="00F84C16" w:rsidP="00F84C16">
      <w:pPr>
        <w:pStyle w:val="Voetnoottekst"/>
        <w:spacing w:before="0" w:line="276" w:lineRule="auto"/>
      </w:pPr>
      <w:r w:rsidRPr="00CF57DD">
        <w:rPr>
          <w:rStyle w:val="Voetnootmarkering"/>
        </w:rPr>
        <w:footnoteRef/>
      </w:r>
      <w:r>
        <w:t xml:space="preserve"> Art.</w:t>
      </w:r>
      <w:r w:rsidRPr="00CF57DD">
        <w:t xml:space="preserve"> 64, derde lid WFT.</w:t>
      </w:r>
    </w:p>
  </w:footnote>
  <w:footnote w:id="10">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RvS 4 maart 2016, nr. 234.037.</w:t>
      </w:r>
    </w:p>
  </w:footnote>
  <w:footnote w:id="11">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Pr>
          <w:rFonts w:cs="Times New Roman"/>
          <w:szCs w:val="16"/>
        </w:rPr>
        <w:t xml:space="preserve"> Art.</w:t>
      </w:r>
      <w:r w:rsidRPr="008D3595">
        <w:rPr>
          <w:rFonts w:cs="Times New Roman"/>
          <w:szCs w:val="16"/>
        </w:rPr>
        <w:t xml:space="preserve"> 2, 40° WFT definieert dit als “</w:t>
      </w:r>
      <w:r w:rsidRPr="008D3595">
        <w:rPr>
          <w:rFonts w:cs="Times New Roman"/>
          <w:i/>
          <w:szCs w:val="16"/>
        </w:rPr>
        <w:t xml:space="preserve">diensten </w:t>
      </w:r>
      <w:r w:rsidRPr="008D3595">
        <w:rPr>
          <w:rFonts w:cs="Times New Roman"/>
          <w:bCs/>
          <w:i/>
          <w:szCs w:val="16"/>
        </w:rPr>
        <w:t>die verband houden met een of meerdere financiële producten</w:t>
      </w:r>
      <w:r w:rsidRPr="008D3595">
        <w:rPr>
          <w:rFonts w:cs="Times New Roman"/>
          <w:szCs w:val="16"/>
        </w:rPr>
        <w:t>”.</w:t>
      </w:r>
    </w:p>
  </w:footnote>
  <w:footnote w:id="12">
    <w:p w:rsidR="00774B05" w:rsidRPr="008D3595" w:rsidRDefault="00774B05" w:rsidP="00774B05">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Het vroegere art</w:t>
      </w:r>
      <w:r>
        <w:rPr>
          <w:rFonts w:cs="Times New Roman"/>
          <w:szCs w:val="16"/>
        </w:rPr>
        <w:t>.</w:t>
      </w:r>
      <w:r w:rsidRPr="008D3595">
        <w:rPr>
          <w:rFonts w:cs="Times New Roman"/>
          <w:szCs w:val="16"/>
        </w:rPr>
        <w:t xml:space="preserve"> 49, §3 WFT werd destijds aangevuld met een productinterventieregime die de bescherming van particuliere beleggers voor ogen had, zie wetsontwerp tot wijziging van de wet van 2 augustus 2002 betreffende het toezicht op de financiële sector en de financiële diensten en van de wet van 22 februari 1998 tot vaststelling van het organiek statuut van de Nationale Bank van België, en houdende diverse bepalingen, </w:t>
      </w:r>
      <w:r w:rsidRPr="008D3595">
        <w:rPr>
          <w:rFonts w:cs="Times New Roman"/>
          <w:i/>
          <w:szCs w:val="16"/>
        </w:rPr>
        <w:t>Parl.St.</w:t>
      </w:r>
      <w:r w:rsidRPr="008D3595">
        <w:rPr>
          <w:rFonts w:cs="Times New Roman"/>
          <w:szCs w:val="16"/>
        </w:rPr>
        <w:t xml:space="preserve"> Kamer 2009-10, nr. 52-24087/1, 13.</w:t>
      </w:r>
    </w:p>
  </w:footnote>
  <w:footnote w:id="13">
    <w:p w:rsidR="00774B05" w:rsidRPr="008D3595" w:rsidRDefault="00774B05" w:rsidP="00774B05">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Wetsontwerp </w:t>
      </w:r>
      <w:r w:rsidRPr="008D3595">
        <w:rPr>
          <w:rFonts w:cs="Times New Roman"/>
          <w:bCs/>
          <w:szCs w:val="16"/>
        </w:rPr>
        <w:t>tot versterking van de bescherming van de afnemers van financiële producten en diensten alsook van de bevoegdheden van de Autoriteit voor Financiële Diensten en Markten en houdende diverse bepalingen (I),</w:t>
      </w:r>
      <w:r w:rsidRPr="008D3595">
        <w:rPr>
          <w:rFonts w:cs="Times New Roman"/>
          <w:szCs w:val="16"/>
        </w:rPr>
        <w:t xml:space="preserve"> </w:t>
      </w:r>
      <w:r w:rsidRPr="008D3595">
        <w:rPr>
          <w:rFonts w:cs="Times New Roman"/>
          <w:i/>
          <w:szCs w:val="16"/>
        </w:rPr>
        <w:t>Parl.St.</w:t>
      </w:r>
      <w:r w:rsidRPr="008D3595">
        <w:rPr>
          <w:rFonts w:cs="Times New Roman"/>
          <w:szCs w:val="16"/>
        </w:rPr>
        <w:t xml:space="preserve"> Kamer 2012-13, nr. 53-2872/1, 29.</w:t>
      </w:r>
    </w:p>
  </w:footnote>
  <w:footnote w:id="14">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Zie de definitie van het begrip ‘consument’ in</w:t>
      </w:r>
      <w:r w:rsidR="00774B05">
        <w:rPr>
          <w:rFonts w:cs="Times New Roman"/>
          <w:szCs w:val="16"/>
        </w:rPr>
        <w:t xml:space="preserve"> de</w:t>
      </w:r>
      <w:r w:rsidRPr="008D3595">
        <w:rPr>
          <w:rFonts w:cs="Times New Roman"/>
          <w:szCs w:val="16"/>
        </w:rPr>
        <w:t xml:space="preserve"> Wet Consumentenkrediet als elke natuurlijke persoon die handelt met een oogmerk dat geacht kan worden </w:t>
      </w:r>
      <w:r w:rsidRPr="00B92320">
        <w:rPr>
          <w:rFonts w:cs="Times New Roman"/>
          <w:i/>
          <w:szCs w:val="16"/>
        </w:rPr>
        <w:t>vreemd</w:t>
      </w:r>
      <w:r w:rsidRPr="008D3595">
        <w:rPr>
          <w:rFonts w:cs="Times New Roman"/>
          <w:szCs w:val="16"/>
        </w:rPr>
        <w:t xml:space="preserve"> te zijn aan zijn handels-, beroeps- of ambachtelijke activiteite</w:t>
      </w:r>
      <w:r>
        <w:rPr>
          <w:rFonts w:cs="Times New Roman"/>
          <w:szCs w:val="16"/>
        </w:rPr>
        <w:t xml:space="preserve">n, zie art. 1, 1° wet 12 juni 1991 op het consumentenkrediet, </w:t>
      </w:r>
      <w:r w:rsidRPr="00EA7F1E">
        <w:rPr>
          <w:rFonts w:cs="Times New Roman"/>
          <w:i/>
          <w:szCs w:val="16"/>
        </w:rPr>
        <w:t>BS</w:t>
      </w:r>
      <w:r>
        <w:rPr>
          <w:rFonts w:cs="Times New Roman"/>
          <w:szCs w:val="16"/>
        </w:rPr>
        <w:t xml:space="preserve"> 9 juli 1991, 15.203.</w:t>
      </w:r>
    </w:p>
  </w:footnote>
  <w:footnote w:id="15">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t>
      </w:r>
      <w:r>
        <w:rPr>
          <w:rFonts w:cs="Times New Roman"/>
          <w:szCs w:val="16"/>
        </w:rPr>
        <w:t>Zie het toepassingsgebied van de vroegere Wet Hypothecair Krediet: “</w:t>
      </w:r>
      <w:r w:rsidRPr="00BE07AE">
        <w:rPr>
          <w:rFonts w:cs="Times New Roman"/>
          <w:i/>
          <w:szCs w:val="16"/>
        </w:rPr>
        <w:t>Deze titel is van toepassing op het hypothecair krediet bestemd voor het financieren van het verwerven of behouden van onroerende zakelijke rechten, toegekend aan een natuurlijke persoon die (hoofdzakelijk) handelt met een oogmerk dat geacht kan worden vreemd te zijn aan zijn handels-, beroeps- of ambachtelijke activiteiten en die, op het ogenblik van het sluiten van het contract, zijn gewone verblijfplaats in België heeft</w:t>
      </w:r>
      <w:r>
        <w:rPr>
          <w:rFonts w:cs="Times New Roman"/>
          <w:szCs w:val="16"/>
        </w:rPr>
        <w:t xml:space="preserve">”, zie art. 1 wet 4 augustus 1992 op het hypothecair krediet, </w:t>
      </w:r>
      <w:r w:rsidRPr="006113FC">
        <w:rPr>
          <w:rFonts w:cs="Times New Roman"/>
          <w:i/>
          <w:szCs w:val="16"/>
        </w:rPr>
        <w:t>BS</w:t>
      </w:r>
      <w:r>
        <w:rPr>
          <w:rFonts w:cs="Times New Roman"/>
          <w:szCs w:val="16"/>
        </w:rPr>
        <w:t xml:space="preserve"> 19 augustus 1992, 18.196.</w:t>
      </w:r>
    </w:p>
  </w:footnote>
  <w:footnote w:id="16">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De invulling van het begrip ‘consument’ in de vroegere WMPC was enger dan </w:t>
      </w:r>
      <w:r>
        <w:rPr>
          <w:rFonts w:cs="Times New Roman"/>
          <w:szCs w:val="16"/>
        </w:rPr>
        <w:t>de invulling in het huidige art.</w:t>
      </w:r>
      <w:r w:rsidRPr="008D3595">
        <w:rPr>
          <w:rFonts w:cs="Times New Roman"/>
          <w:szCs w:val="16"/>
        </w:rPr>
        <w:t xml:space="preserve"> I.1, 2° WER doordat een natuurlijke persoon </w:t>
      </w:r>
      <w:r w:rsidRPr="008D3595">
        <w:rPr>
          <w:rFonts w:cs="Times New Roman"/>
          <w:i/>
          <w:szCs w:val="16"/>
        </w:rPr>
        <w:t>uitsluitend</w:t>
      </w:r>
      <w:r w:rsidRPr="008D3595">
        <w:rPr>
          <w:rFonts w:cs="Times New Roman"/>
          <w:szCs w:val="16"/>
        </w:rPr>
        <w:t xml:space="preserve"> voor privédoeleinden moest handelen, zie art</w:t>
      </w:r>
      <w:r>
        <w:rPr>
          <w:rFonts w:cs="Times New Roman"/>
          <w:szCs w:val="16"/>
        </w:rPr>
        <w:t>.</w:t>
      </w:r>
      <w:r w:rsidRPr="008D3595">
        <w:rPr>
          <w:rFonts w:cs="Times New Roman"/>
          <w:szCs w:val="16"/>
        </w:rPr>
        <w:t xml:space="preserve"> 2, 3° wet 6 april 2010 betreffende marktpraktijken en consumentenbescherming, </w:t>
      </w:r>
      <w:r w:rsidRPr="008D3595">
        <w:rPr>
          <w:rFonts w:cs="Times New Roman"/>
          <w:i/>
          <w:szCs w:val="16"/>
        </w:rPr>
        <w:t>BS</w:t>
      </w:r>
      <w:r w:rsidRPr="008D3595">
        <w:rPr>
          <w:rFonts w:cs="Times New Roman"/>
          <w:szCs w:val="16"/>
        </w:rPr>
        <w:t xml:space="preserve"> 12 april 2010, 20.803.</w:t>
      </w:r>
    </w:p>
  </w:footnote>
  <w:footnote w:id="17">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Zie ook R. STEENNOT, “De bescherming van de consument door de Autoriteit voor Financiële Diensten en Markten en het vrijwillig moratorium op de commercialisering van bijzonder ingewikkelde gestructureerde producten”, </w:t>
      </w:r>
      <w:r w:rsidRPr="008D3595">
        <w:rPr>
          <w:rFonts w:cs="Times New Roman"/>
          <w:i/>
          <w:szCs w:val="16"/>
        </w:rPr>
        <w:t>T.Verz.</w:t>
      </w:r>
      <w:r w:rsidRPr="008D3595">
        <w:rPr>
          <w:rFonts w:cs="Times New Roman"/>
          <w:szCs w:val="16"/>
        </w:rPr>
        <w:t xml:space="preserve"> 2011, (115) 120-122, nr. 11-13</w:t>
      </w:r>
      <w:r>
        <w:rPr>
          <w:rFonts w:cs="Times New Roman"/>
          <w:szCs w:val="16"/>
        </w:rPr>
        <w:t>.</w:t>
      </w:r>
    </w:p>
  </w:footnote>
  <w:footnote w:id="18">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t>
      </w:r>
      <w:r w:rsidR="007578FF">
        <w:rPr>
          <w:rFonts w:cs="Times New Roman"/>
          <w:szCs w:val="16"/>
        </w:rPr>
        <w:t>Art. 112 w</w:t>
      </w:r>
      <w:r w:rsidRPr="008D3595">
        <w:rPr>
          <w:rFonts w:cs="Times New Roman"/>
          <w:szCs w:val="16"/>
        </w:rPr>
        <w:t>et 21 november 2017 over de</w:t>
      </w:r>
      <w:r w:rsidRPr="008D3595">
        <w:rPr>
          <w:rFonts w:cs="Times New Roman"/>
          <w:b/>
          <w:bCs/>
          <w:szCs w:val="16"/>
        </w:rPr>
        <w:t> </w:t>
      </w:r>
      <w:r w:rsidRPr="008D3595">
        <w:rPr>
          <w:rFonts w:cs="Times New Roman"/>
          <w:bCs/>
          <w:szCs w:val="16"/>
        </w:rPr>
        <w:t xml:space="preserve">infrastructuren voor de markten voor financiële instrumenten en houdende omzetting van Richtlijn 2014/65/EU, </w:t>
      </w:r>
      <w:r w:rsidRPr="008D3595">
        <w:rPr>
          <w:rFonts w:cs="Times New Roman"/>
          <w:bCs/>
          <w:i/>
          <w:szCs w:val="16"/>
        </w:rPr>
        <w:t>BS</w:t>
      </w:r>
      <w:r w:rsidRPr="008D3595">
        <w:rPr>
          <w:rFonts w:cs="Times New Roman"/>
          <w:bCs/>
          <w:szCs w:val="16"/>
        </w:rPr>
        <w:t xml:space="preserve"> 7 december 2017, 107.933.</w:t>
      </w:r>
    </w:p>
  </w:footnote>
  <w:footnote w:id="19">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De nogal ongelukkige formulering van deze zinsnede volgt wellicht uit een letterlijke vertaling van de Franse tekst: “</w:t>
      </w:r>
      <w:r w:rsidRPr="008D3595">
        <w:rPr>
          <w:rFonts w:cs="Times New Roman"/>
          <w:i/>
          <w:szCs w:val="16"/>
        </w:rPr>
        <w:t>sans préjudice des compétences dévolues au ministre ayant l'Economie dans ses attributions</w:t>
      </w:r>
      <w:r w:rsidRPr="008D3595">
        <w:rPr>
          <w:rFonts w:cs="Times New Roman"/>
          <w:szCs w:val="16"/>
        </w:rPr>
        <w:t>”.</w:t>
      </w:r>
    </w:p>
  </w:footnote>
  <w:footnote w:id="20">
    <w:p w:rsidR="00F84C16" w:rsidRPr="0088585D"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88585D">
        <w:rPr>
          <w:rFonts w:cs="Times New Roman"/>
          <w:szCs w:val="16"/>
          <w:lang w:val="en-US"/>
        </w:rPr>
        <w:t xml:space="preserve"> Art. 148 WFT.</w:t>
      </w:r>
    </w:p>
  </w:footnote>
  <w:footnote w:id="21">
    <w:p w:rsidR="00F84C16" w:rsidRPr="0088585D"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88585D">
        <w:rPr>
          <w:rFonts w:cs="Times New Roman"/>
          <w:szCs w:val="16"/>
          <w:lang w:val="en-US"/>
        </w:rPr>
        <w:t xml:space="preserve"> Art. 125, eerste lid, 1° j° art. 127, §1, 2° WFT.</w:t>
      </w:r>
    </w:p>
  </w:footnote>
  <w:footnote w:id="22">
    <w:p w:rsidR="00F84C16" w:rsidRPr="00F53385"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F53385">
        <w:rPr>
          <w:rFonts w:cs="Times New Roman"/>
          <w:szCs w:val="16"/>
          <w:lang w:val="en-US"/>
        </w:rPr>
        <w:t xml:space="preserve"> Art. XV.2 WER.</w:t>
      </w:r>
    </w:p>
  </w:footnote>
  <w:footnote w:id="23">
    <w:p w:rsidR="00F84C16" w:rsidRPr="00F53385"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F53385">
        <w:rPr>
          <w:rFonts w:cs="Times New Roman"/>
          <w:szCs w:val="16"/>
          <w:lang w:val="en-US"/>
        </w:rPr>
        <w:t xml:space="preserve"> Art. XVII.7, 2° WER.</w:t>
      </w:r>
    </w:p>
  </w:footnote>
  <w:footnote w:id="24">
    <w:p w:rsidR="00F84C16" w:rsidRPr="0088585D" w:rsidRDefault="00F84C16" w:rsidP="00F84C16">
      <w:pPr>
        <w:pStyle w:val="Voetnoottekst"/>
        <w:spacing w:before="0" w:line="276" w:lineRule="auto"/>
        <w:rPr>
          <w:lang w:val="en-US"/>
        </w:rPr>
      </w:pPr>
      <w:r w:rsidRPr="000A6A56">
        <w:rPr>
          <w:rStyle w:val="Voetnootmarkering"/>
        </w:rPr>
        <w:footnoteRef/>
      </w:r>
      <w:r w:rsidRPr="0088585D">
        <w:rPr>
          <w:lang w:val="en-US"/>
        </w:rPr>
        <w:t xml:space="preserve"> Art. I.1, eerste lid, 3° WER.</w:t>
      </w:r>
    </w:p>
  </w:footnote>
  <w:footnote w:id="25">
    <w:p w:rsidR="00F84C16" w:rsidRPr="0088585D"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88585D">
        <w:rPr>
          <w:rFonts w:cs="Times New Roman"/>
          <w:szCs w:val="16"/>
          <w:lang w:val="en-US"/>
        </w:rPr>
        <w:t xml:space="preserve"> Art. XV.2 WER.</w:t>
      </w:r>
    </w:p>
  </w:footnote>
  <w:footnote w:id="26">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Dit kan het voorwerp zijn van een praktische samenwerkings</w:t>
      </w:r>
      <w:r>
        <w:rPr>
          <w:rFonts w:cs="Times New Roman"/>
          <w:szCs w:val="16"/>
        </w:rPr>
        <w:t>modaliteit in de zin van art.</w:t>
      </w:r>
      <w:r w:rsidRPr="008D3595">
        <w:rPr>
          <w:rFonts w:cs="Times New Roman"/>
          <w:szCs w:val="16"/>
        </w:rPr>
        <w:t xml:space="preserve"> XV.33, </w:t>
      </w:r>
      <w:r w:rsidRPr="008D3595">
        <w:rPr>
          <w:rFonts w:cs="Times New Roman"/>
          <w:i/>
          <w:szCs w:val="16"/>
        </w:rPr>
        <w:t>in fine</w:t>
      </w:r>
      <w:r w:rsidRPr="008D3595">
        <w:rPr>
          <w:rFonts w:cs="Times New Roman"/>
          <w:szCs w:val="16"/>
        </w:rPr>
        <w:t xml:space="preserve"> WER.</w:t>
      </w:r>
    </w:p>
  </w:footnote>
  <w:footnote w:id="27">
    <w:p w:rsidR="00F84C16" w:rsidRDefault="00F84C16" w:rsidP="00F84C16">
      <w:pPr>
        <w:pStyle w:val="Voetnoottekst"/>
        <w:spacing w:before="0" w:line="276" w:lineRule="auto"/>
      </w:pPr>
      <w:r w:rsidRPr="001E5749">
        <w:rPr>
          <w:rStyle w:val="Voetnootmarkering"/>
        </w:rPr>
        <w:footnoteRef/>
      </w:r>
      <w:r w:rsidRPr="001E5749">
        <w:t xml:space="preserve"> De commercialisering van een verboden financieel product kan </w:t>
      </w:r>
      <w:r>
        <w:t xml:space="preserve">in bepaalde situaties </w:t>
      </w:r>
      <w:r w:rsidRPr="001E5749">
        <w:t xml:space="preserve">bijvoorbeeld geïnterpreteerd worden als een </w:t>
      </w:r>
      <w:r>
        <w:t>bewering dat een product door een openbare instelling is toegelaten, zie art. VI.100, 4° WER.</w:t>
      </w:r>
    </w:p>
  </w:footnote>
  <w:footnote w:id="28">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Pr>
          <w:rFonts w:cs="Times New Roman"/>
          <w:szCs w:val="16"/>
        </w:rPr>
        <w:t xml:space="preserve"> Art. 45, 7° WFT; art.</w:t>
      </w:r>
      <w:r w:rsidRPr="008D3595">
        <w:rPr>
          <w:rFonts w:cs="Times New Roman"/>
          <w:szCs w:val="16"/>
        </w:rPr>
        <w:t xml:space="preserve"> XV.11, §2 WER</w:t>
      </w:r>
      <w:r>
        <w:rPr>
          <w:rFonts w:cs="Times New Roman"/>
          <w:szCs w:val="16"/>
        </w:rPr>
        <w:t xml:space="preserve">; R. HOUBEN en D. VANDERSTRAETEN, “De bescherming van de financiële consument door de FSMA”, </w:t>
      </w:r>
      <w:r w:rsidRPr="00970212">
        <w:rPr>
          <w:rFonts w:cs="Times New Roman"/>
          <w:i/>
          <w:szCs w:val="16"/>
        </w:rPr>
        <w:t>DCCR</w:t>
      </w:r>
      <w:r>
        <w:rPr>
          <w:rFonts w:cs="Times New Roman"/>
          <w:szCs w:val="16"/>
        </w:rPr>
        <w:t xml:space="preserve"> 2016, (21) 26-27 (hierna: R. HOUBEN en D. VANDERSTRAETEN, “De bescherming van de financiële consument”).</w:t>
      </w:r>
    </w:p>
  </w:footnote>
  <w:footnote w:id="29">
    <w:p w:rsidR="00F84C16" w:rsidRPr="00FE2BE6" w:rsidRDefault="00F84C16" w:rsidP="00F84C16">
      <w:pPr>
        <w:pStyle w:val="Voetnoottekst"/>
        <w:spacing w:line="276" w:lineRule="auto"/>
      </w:pPr>
      <w:r>
        <w:rPr>
          <w:rStyle w:val="Voetnootmarkering"/>
        </w:rPr>
        <w:footnoteRef/>
      </w:r>
      <w:r>
        <w:t xml:space="preserve"> Art. 30</w:t>
      </w:r>
      <w:r>
        <w:rPr>
          <w:i/>
        </w:rPr>
        <w:t>bis</w:t>
      </w:r>
      <w:r>
        <w:t>, eerste lid, 1° WFT.</w:t>
      </w:r>
    </w:p>
  </w:footnote>
  <w:footnote w:id="30">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A</w:t>
      </w:r>
      <w:r>
        <w:rPr>
          <w:rFonts w:cs="Times New Roman"/>
          <w:szCs w:val="16"/>
        </w:rPr>
        <w:t>rt.</w:t>
      </w:r>
      <w:r w:rsidRPr="008D3595">
        <w:rPr>
          <w:rFonts w:cs="Times New Roman"/>
          <w:szCs w:val="16"/>
        </w:rPr>
        <w:t xml:space="preserve"> 30</w:t>
      </w:r>
      <w:r w:rsidRPr="008D3595">
        <w:rPr>
          <w:rFonts w:cs="Times New Roman"/>
          <w:i/>
          <w:szCs w:val="16"/>
        </w:rPr>
        <w:t>bis</w:t>
      </w:r>
      <w:r w:rsidRPr="008D3595">
        <w:rPr>
          <w:rFonts w:cs="Times New Roman"/>
          <w:szCs w:val="16"/>
        </w:rPr>
        <w:t>, tweede lid WFT.</w:t>
      </w:r>
    </w:p>
  </w:footnote>
  <w:footnote w:id="31">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FSMA, </w:t>
      </w:r>
      <w:r w:rsidRPr="008D3595">
        <w:rPr>
          <w:rFonts w:cs="Times New Roman"/>
          <w:i/>
          <w:szCs w:val="16"/>
        </w:rPr>
        <w:t>Moratorium op de commercialisering van bijzonder ingewikkelde gestructureerde producten</w:t>
      </w:r>
      <w:r w:rsidRPr="008D3595">
        <w:rPr>
          <w:rFonts w:cs="Times New Roman"/>
          <w:szCs w:val="16"/>
        </w:rPr>
        <w:t xml:space="preserve">, 20 juni 2011, </w:t>
      </w:r>
      <w:hyperlink r:id="rId1" w:history="1">
        <w:r w:rsidRPr="00D32393">
          <w:rPr>
            <w:rStyle w:val="Hyperlink"/>
            <w:rFonts w:cs="Times New Roman"/>
            <w:color w:val="auto"/>
            <w:szCs w:val="16"/>
            <w:u w:val="none"/>
          </w:rPr>
          <w:t>https://www.fsma.be/sites/default/files/public/sitecore/media%20library/Files/fsmafiles/press/2011/nipic/nl/fsma_2011_02.pdf</w:t>
        </w:r>
      </w:hyperlink>
      <w:r>
        <w:rPr>
          <w:rFonts w:cs="Times New Roman"/>
          <w:szCs w:val="16"/>
        </w:rPr>
        <w:t>, 10 p. (hierna: Moratorium).</w:t>
      </w:r>
    </w:p>
  </w:footnote>
  <w:footnote w:id="32">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Zie daaromtrent R. STEENNOT, “De bescherming van de consument door de Autoriteit voor Financiële Diensten en Markten en het vrijwillig moratorium op de commercialisering van bijzonder ingewikkelde gestructureerde producten”, </w:t>
      </w:r>
      <w:r w:rsidRPr="008D3595">
        <w:rPr>
          <w:rFonts w:cs="Times New Roman"/>
          <w:i/>
          <w:szCs w:val="16"/>
        </w:rPr>
        <w:t>T.Verz.</w:t>
      </w:r>
      <w:r w:rsidRPr="008D3595">
        <w:rPr>
          <w:rFonts w:cs="Times New Roman"/>
          <w:szCs w:val="16"/>
        </w:rPr>
        <w:t xml:space="preserve"> 2011, (115) 132-145.</w:t>
      </w:r>
    </w:p>
  </w:footnote>
  <w:footnote w:id="33">
    <w:p w:rsidR="00F84C16" w:rsidRDefault="00F84C16" w:rsidP="00F84C16">
      <w:pPr>
        <w:pStyle w:val="Voetnoottekst"/>
        <w:spacing w:before="0" w:line="276" w:lineRule="auto"/>
      </w:pPr>
      <w:r w:rsidRPr="00B022A5">
        <w:rPr>
          <w:rStyle w:val="Voetnootmarkering"/>
        </w:rPr>
        <w:footnoteRef/>
      </w:r>
      <w:r w:rsidRPr="00B022A5">
        <w:t xml:space="preserve"> </w:t>
      </w:r>
      <w:r>
        <w:t xml:space="preserve">Moratorium, 4-5; </w:t>
      </w:r>
      <w:r>
        <w:rPr>
          <w:rFonts w:cs="Times New Roman"/>
          <w:szCs w:val="16"/>
        </w:rPr>
        <w:t>R. HOUBEN en D. VANDERSTRAETEN, “De bescherming van de financiële consument”, (21)</w:t>
      </w:r>
      <w:r>
        <w:t xml:space="preserve"> 48, nr. 33.</w:t>
      </w:r>
    </w:p>
  </w:footnote>
  <w:footnote w:id="34">
    <w:p w:rsidR="00F84C16" w:rsidRDefault="00F84C16" w:rsidP="00F84C16">
      <w:pPr>
        <w:pStyle w:val="Voetnoottekst"/>
        <w:spacing w:before="0" w:line="276" w:lineRule="auto"/>
      </w:pPr>
      <w:r w:rsidRPr="00616530">
        <w:rPr>
          <w:rStyle w:val="Voetnootmarkering"/>
        </w:rPr>
        <w:footnoteRef/>
      </w:r>
      <w:r w:rsidRPr="00616530">
        <w:t xml:space="preserve"> </w:t>
      </w:r>
      <w:r>
        <w:t>Het betreft (1) de toegankelijkheid van de onderliggende waarde, (2) de begrijpelijkheid van de derivatencomponent, (3) de begrijpelijkheid van de berekeningsformule en (4) de transparantie over de kosten, kredietrisico en marktwaarde (zie Moratorium, 5-9).</w:t>
      </w:r>
    </w:p>
  </w:footnote>
  <w:footnote w:id="35">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KB 24 april 2014 tot goedkeuring van het reglement van de Autoriteit voor Financiële Diensten en Markten betreffende het commercialiseringsverbod van bepaalde financiële producten aan niet-professionele cliënten, </w:t>
      </w:r>
      <w:r w:rsidRPr="009B0512">
        <w:rPr>
          <w:rFonts w:cs="Times New Roman"/>
          <w:i/>
          <w:szCs w:val="16"/>
        </w:rPr>
        <w:t>BS</w:t>
      </w:r>
      <w:r w:rsidRPr="008D3595">
        <w:rPr>
          <w:rFonts w:cs="Times New Roman"/>
          <w:szCs w:val="16"/>
        </w:rPr>
        <w:t xml:space="preserve"> 20 mei 2014, 40.095.</w:t>
      </w:r>
    </w:p>
  </w:footnote>
  <w:footnote w:id="36">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KB 21 juli 2016 tot goedkeuring van het reglement van de Autoriteit voor Financiële Diensten en Markten tot omkadering van de commercialisering van bepaalde financiële derivaten bij consumenten, </w:t>
      </w:r>
      <w:r w:rsidRPr="008D3595">
        <w:rPr>
          <w:rFonts w:cs="Times New Roman"/>
          <w:i/>
          <w:szCs w:val="16"/>
        </w:rPr>
        <w:t>BS</w:t>
      </w:r>
      <w:r w:rsidRPr="008D3595">
        <w:rPr>
          <w:rFonts w:cs="Times New Roman"/>
          <w:szCs w:val="16"/>
        </w:rPr>
        <w:t xml:space="preserve"> 8 augustus 2016, 47.883.</w:t>
      </w:r>
    </w:p>
  </w:footnote>
  <w:footnote w:id="37">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Dit zijn verhandelde levensverzekeringen, zie art</w:t>
      </w:r>
      <w:r>
        <w:rPr>
          <w:rFonts w:cs="Times New Roman"/>
          <w:szCs w:val="16"/>
        </w:rPr>
        <w:t>.</w:t>
      </w:r>
      <w:r w:rsidRPr="008D3595">
        <w:rPr>
          <w:rFonts w:cs="Times New Roman"/>
          <w:szCs w:val="16"/>
        </w:rPr>
        <w:t xml:space="preserve"> 1, 4° KB 24 april 2014.</w:t>
      </w:r>
    </w:p>
  </w:footnote>
  <w:footnote w:id="38">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R. FELTKAMP, “Koninklijk besluit van 24 april 2014 tot goedkeuring van het reglement van de Autoriteit voor Financiële Diensten en Markten betreffende het commercialiseringsverbod van bepaalde financiële producten aan niet-professionele cliënten (BS 20 mei 2014, in werking getreden op 1 juli 2014)”, </w:t>
      </w:r>
      <w:r w:rsidRPr="008D3595">
        <w:rPr>
          <w:rFonts w:cs="Times New Roman"/>
          <w:i/>
          <w:szCs w:val="16"/>
        </w:rPr>
        <w:t>RDC-TBH</w:t>
      </w:r>
      <w:r w:rsidRPr="008D3595">
        <w:rPr>
          <w:rFonts w:cs="Times New Roman"/>
          <w:szCs w:val="16"/>
        </w:rPr>
        <w:t xml:space="preserve"> 2014, 719.</w:t>
      </w:r>
    </w:p>
  </w:footnote>
  <w:footnote w:id="39">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Pr>
          <w:rFonts w:cs="Times New Roman"/>
          <w:szCs w:val="16"/>
        </w:rPr>
        <w:t xml:space="preserve"> Art.</w:t>
      </w:r>
      <w:r w:rsidRPr="008D3595">
        <w:rPr>
          <w:rFonts w:cs="Times New Roman"/>
          <w:szCs w:val="16"/>
        </w:rPr>
        <w:t xml:space="preserve"> 2 reglement van de Autoriteit voor Financiële Diensten en Markten tot omkadering van de commercialisering van bepaalde financiële derivaten bij consumenten, </w:t>
      </w:r>
      <w:r w:rsidRPr="009B0512">
        <w:rPr>
          <w:rFonts w:cs="Times New Roman"/>
          <w:i/>
          <w:szCs w:val="16"/>
        </w:rPr>
        <w:t>BS</w:t>
      </w:r>
      <w:r w:rsidRPr="008D3595">
        <w:rPr>
          <w:rFonts w:cs="Times New Roman"/>
          <w:szCs w:val="16"/>
        </w:rPr>
        <w:t xml:space="preserve"> 8 augustus 2016, 47.884.</w:t>
      </w:r>
    </w:p>
  </w:footnote>
  <w:footnote w:id="40">
    <w:p w:rsidR="00B5637E" w:rsidRPr="008D3595" w:rsidRDefault="00B5637E" w:rsidP="00B5637E">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t>
      </w:r>
      <w:r w:rsidRPr="008D3595">
        <w:rPr>
          <w:rFonts w:cs="Times New Roman"/>
          <w:i/>
          <w:szCs w:val="16"/>
        </w:rPr>
        <w:t>Contracts for Difference</w:t>
      </w:r>
      <w:r w:rsidRPr="008D3595">
        <w:rPr>
          <w:rFonts w:cs="Times New Roman"/>
          <w:szCs w:val="16"/>
        </w:rPr>
        <w:t>’ (CFD’s) zijn contracten die de koers van een onderliggende waarde tot voorwerp hebben (bijvoorbeeld aandelen, de goudprijs of zelfs de waarde van een cryptomunt). De cliënt doet een inleg die op de vervaldag van het contract toegenomen kan zijn of verminderd, afhankelijk van de koers van de onderliggende waarde. Er is doorgaans sprake van een hefboomeffect, waardoor de cliënt met een beperkt bedrag kan speculeren op de koersschommelingen van een veel hoger bedrag van de onderliggende waarden.</w:t>
      </w:r>
    </w:p>
  </w:footnote>
  <w:footnote w:id="41">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Pr>
          <w:rFonts w:cs="Times New Roman"/>
          <w:szCs w:val="16"/>
        </w:rPr>
        <w:t xml:space="preserve"> Art.</w:t>
      </w:r>
      <w:r w:rsidRPr="008D3595">
        <w:rPr>
          <w:rFonts w:cs="Times New Roman"/>
          <w:szCs w:val="16"/>
        </w:rPr>
        <w:t xml:space="preserve"> 3 reglement van de Autoriteit voor Financiële Diensten en Markten tot omkadering van de commercialisering van bepaalde financiële derivaten bij consumenten, </w:t>
      </w:r>
      <w:r w:rsidRPr="00A843B7">
        <w:rPr>
          <w:rFonts w:cs="Times New Roman"/>
          <w:i/>
          <w:szCs w:val="16"/>
        </w:rPr>
        <w:t>BS</w:t>
      </w:r>
      <w:r w:rsidRPr="008D3595">
        <w:rPr>
          <w:rFonts w:cs="Times New Roman"/>
          <w:szCs w:val="16"/>
        </w:rPr>
        <w:t xml:space="preserve"> 8 augustus 2016, 47.884.</w:t>
      </w:r>
    </w:p>
  </w:footnote>
  <w:footnote w:id="42">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Toelichtende nota gevoegd bij het reglement van de Autoriteit voor Financiële Diensten en Markten betreffende het commercialiseringsverbod van bepaalde financiële producten aan niet-professionele cliënten, </w:t>
      </w:r>
      <w:r w:rsidRPr="008D3595">
        <w:rPr>
          <w:rFonts w:cs="Times New Roman"/>
          <w:i/>
          <w:szCs w:val="16"/>
        </w:rPr>
        <w:t>BS</w:t>
      </w:r>
      <w:r w:rsidRPr="008D3595">
        <w:rPr>
          <w:rFonts w:cs="Times New Roman"/>
          <w:szCs w:val="16"/>
        </w:rPr>
        <w:t xml:space="preserve"> 20 mei 2014, 40.097.</w:t>
      </w:r>
    </w:p>
  </w:footnote>
  <w:footnote w:id="43">
    <w:p w:rsidR="00F84C16" w:rsidRDefault="00F84C16" w:rsidP="00F84C16">
      <w:pPr>
        <w:pStyle w:val="Voetnoottekst"/>
        <w:spacing w:before="0" w:line="276" w:lineRule="auto"/>
      </w:pPr>
      <w:r w:rsidRPr="00801C50">
        <w:rPr>
          <w:rStyle w:val="Voetnootmarkering"/>
        </w:rPr>
        <w:footnoteRef/>
      </w:r>
      <w:r w:rsidRPr="00801C50">
        <w:t xml:space="preserve"> </w:t>
      </w:r>
      <w:r>
        <w:t>Art. 27</w:t>
      </w:r>
      <w:r w:rsidRPr="00801C50">
        <w:rPr>
          <w:i/>
        </w:rPr>
        <w:t>ter</w:t>
      </w:r>
      <w:r>
        <w:t>, §2 WFT</w:t>
      </w:r>
      <w:r w:rsidR="00B5637E">
        <w:t xml:space="preserve"> (vroeger art. </w:t>
      </w:r>
      <w:r w:rsidR="00431614">
        <w:t>27, §4 WFT</w:t>
      </w:r>
      <w:r w:rsidR="00B5637E">
        <w:t>)</w:t>
      </w:r>
      <w:r>
        <w:t>.</w:t>
      </w:r>
    </w:p>
  </w:footnote>
  <w:footnote w:id="44">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Pr>
          <w:rFonts w:cs="Times New Roman"/>
          <w:szCs w:val="16"/>
        </w:rPr>
        <w:t xml:space="preserve"> Art.</w:t>
      </w:r>
      <w:r w:rsidRPr="008D3595">
        <w:rPr>
          <w:rFonts w:cs="Times New Roman"/>
          <w:szCs w:val="16"/>
        </w:rPr>
        <w:t xml:space="preserve"> 2 KB 19 december 2017 </w:t>
      </w:r>
      <w:r w:rsidRPr="008D3595">
        <w:rPr>
          <w:rFonts w:cs="Times New Roman"/>
          <w:bCs/>
          <w:szCs w:val="16"/>
        </w:rPr>
        <w:t xml:space="preserve">tot bepaling van nadere regels tot omzetting van de richtlijn betreffende markten voor financiële instrumenten, </w:t>
      </w:r>
      <w:r w:rsidRPr="008D3595">
        <w:rPr>
          <w:rFonts w:cs="Times New Roman"/>
          <w:bCs/>
          <w:i/>
          <w:szCs w:val="16"/>
        </w:rPr>
        <w:t>BS</w:t>
      </w:r>
      <w:r w:rsidRPr="008D3595">
        <w:rPr>
          <w:rFonts w:cs="Times New Roman"/>
          <w:bCs/>
          <w:szCs w:val="16"/>
        </w:rPr>
        <w:t xml:space="preserve"> 27 december 2017, 114.825.</w:t>
      </w:r>
    </w:p>
  </w:footnote>
  <w:footnote w:id="45">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Bijlage II</w:t>
      </w:r>
      <w:r>
        <w:rPr>
          <w:rFonts w:cs="Times New Roman"/>
          <w:szCs w:val="16"/>
        </w:rPr>
        <w:t xml:space="preserve"> Richtl.EP en Raad nr. 2014/65/EU, 15 mei 2014 </w:t>
      </w:r>
      <w:r w:rsidRPr="005C2047">
        <w:rPr>
          <w:rFonts w:cs="Times New Roman"/>
          <w:szCs w:val="16"/>
        </w:rPr>
        <w:t>betreffende markten voor financiële instrumenten en tot wijziging van Richtlijn 2002/92/EG en</w:t>
      </w:r>
      <w:r>
        <w:rPr>
          <w:rFonts w:cs="Times New Roman"/>
          <w:szCs w:val="16"/>
        </w:rPr>
        <w:t xml:space="preserve"> </w:t>
      </w:r>
      <w:r w:rsidRPr="005C2047">
        <w:rPr>
          <w:rFonts w:cs="Times New Roman"/>
          <w:szCs w:val="16"/>
        </w:rPr>
        <w:t>Richtlijn 2011/61/EU</w:t>
      </w:r>
      <w:r>
        <w:rPr>
          <w:rFonts w:cs="Times New Roman"/>
          <w:szCs w:val="16"/>
        </w:rPr>
        <w:t xml:space="preserve">, </w:t>
      </w:r>
      <w:r w:rsidRPr="005C2047">
        <w:rPr>
          <w:rFonts w:cs="Times New Roman"/>
          <w:i/>
          <w:szCs w:val="16"/>
        </w:rPr>
        <w:t>Pb.L.</w:t>
      </w:r>
      <w:r>
        <w:rPr>
          <w:rFonts w:cs="Times New Roman"/>
          <w:szCs w:val="16"/>
        </w:rPr>
        <w:t xml:space="preserve"> 12 juni 2014, afl. 173, 349</w:t>
      </w:r>
      <w:r w:rsidRPr="008D3595">
        <w:rPr>
          <w:rFonts w:cs="Times New Roman"/>
          <w:szCs w:val="16"/>
        </w:rPr>
        <w:t xml:space="preserve"> </w:t>
      </w:r>
      <w:r>
        <w:rPr>
          <w:rFonts w:cs="Times New Roman"/>
          <w:szCs w:val="16"/>
        </w:rPr>
        <w:t xml:space="preserve">(hierna: </w:t>
      </w:r>
      <w:r w:rsidRPr="008D3595">
        <w:rPr>
          <w:rFonts w:cs="Times New Roman"/>
          <w:szCs w:val="16"/>
        </w:rPr>
        <w:t>MiFID II</w:t>
      </w:r>
      <w:r>
        <w:rPr>
          <w:rFonts w:cs="Times New Roman"/>
          <w:szCs w:val="16"/>
        </w:rPr>
        <w:t>)</w:t>
      </w:r>
      <w:r w:rsidRPr="008D3595">
        <w:rPr>
          <w:rFonts w:cs="Times New Roman"/>
          <w:szCs w:val="16"/>
        </w:rPr>
        <w:t>.</w:t>
      </w:r>
    </w:p>
  </w:footnote>
  <w:footnote w:id="46">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Art</w:t>
      </w:r>
      <w:r>
        <w:rPr>
          <w:rFonts w:cs="Times New Roman"/>
          <w:szCs w:val="16"/>
        </w:rPr>
        <w:t>.</w:t>
      </w:r>
      <w:r w:rsidRPr="008D3595">
        <w:rPr>
          <w:rFonts w:cs="Times New Roman"/>
          <w:szCs w:val="16"/>
        </w:rPr>
        <w:t xml:space="preserve"> 2 KB 3 juni 2007 tot bepaling van nadere regels tot omzetting van de richtlijn betreffende markten voor financiële instrumenten, </w:t>
      </w:r>
      <w:r w:rsidRPr="008D3595">
        <w:rPr>
          <w:rFonts w:cs="Times New Roman"/>
          <w:i/>
          <w:szCs w:val="16"/>
        </w:rPr>
        <w:t>BS</w:t>
      </w:r>
      <w:r w:rsidRPr="008D3595">
        <w:rPr>
          <w:rFonts w:cs="Times New Roman"/>
          <w:szCs w:val="16"/>
        </w:rPr>
        <w:t xml:space="preserve"> 18 juni 2007, 32.935.</w:t>
      </w:r>
    </w:p>
  </w:footnote>
  <w:footnote w:id="47">
    <w:p w:rsidR="00F84C16" w:rsidRPr="0080073E"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0073E">
        <w:rPr>
          <w:rFonts w:cs="Times New Roman"/>
          <w:szCs w:val="16"/>
        </w:rPr>
        <w:t xml:space="preserve"> </w:t>
      </w:r>
      <w:r>
        <w:rPr>
          <w:rFonts w:cs="Times New Roman"/>
          <w:szCs w:val="16"/>
        </w:rPr>
        <w:t>Zie</w:t>
      </w:r>
      <w:r w:rsidRPr="0080073E">
        <w:rPr>
          <w:rFonts w:cs="Times New Roman"/>
          <w:szCs w:val="16"/>
        </w:rPr>
        <w:t xml:space="preserve"> Bijlage II Richtl.</w:t>
      </w:r>
      <w:r>
        <w:rPr>
          <w:rFonts w:cs="Times New Roman"/>
          <w:szCs w:val="16"/>
        </w:rPr>
        <w:t xml:space="preserve">EP en Raad nr. 2004/39/EG, 21 april 2004 </w:t>
      </w:r>
      <w:r>
        <w:t xml:space="preserve">betreffende markten voor financiële instrumenten, tot wijziging van de Richtlijnen 85/611/EEG en 93/6/EEG van de Raad en van Richtlijn 2000/12/EG van het Europees Parlement en de Raad en houdende intrekking van Richtlijn 93/22/EEG van de Raad, </w:t>
      </w:r>
      <w:r w:rsidRPr="0080073E">
        <w:rPr>
          <w:i/>
        </w:rPr>
        <w:t>Pb.L.</w:t>
      </w:r>
      <w:r>
        <w:t xml:space="preserve"> 30 april 2004, afl. 145, 1 (hierna:</w:t>
      </w:r>
      <w:r w:rsidRPr="0080073E">
        <w:rPr>
          <w:rFonts w:cs="Times New Roman"/>
          <w:szCs w:val="16"/>
        </w:rPr>
        <w:t xml:space="preserve"> MiFID</w:t>
      </w:r>
      <w:r>
        <w:rPr>
          <w:rFonts w:cs="Times New Roman"/>
          <w:szCs w:val="16"/>
        </w:rPr>
        <w:t>)</w:t>
      </w:r>
      <w:r w:rsidRPr="0080073E">
        <w:rPr>
          <w:rFonts w:cs="Times New Roman"/>
          <w:szCs w:val="16"/>
        </w:rPr>
        <w:t>.</w:t>
      </w:r>
    </w:p>
  </w:footnote>
  <w:footnote w:id="48">
    <w:p w:rsidR="00F84C16" w:rsidRPr="0088585D"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88585D">
        <w:rPr>
          <w:rFonts w:cs="Times New Roman"/>
          <w:szCs w:val="16"/>
          <w:lang w:val="en-US"/>
        </w:rPr>
        <w:t xml:space="preserve"> Art. 30 MiFID II.</w:t>
      </w:r>
    </w:p>
  </w:footnote>
  <w:footnote w:id="49">
    <w:p w:rsidR="00F84C16" w:rsidRPr="0088585D"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88585D">
        <w:rPr>
          <w:rFonts w:cs="Times New Roman"/>
          <w:szCs w:val="16"/>
          <w:lang w:val="en-US"/>
        </w:rPr>
        <w:t xml:space="preserve"> Art. 24 MiFID.</w:t>
      </w:r>
    </w:p>
  </w:footnote>
  <w:footnote w:id="50">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Adv.Raad voor het Verbruik 18 februari 2016, nr. 490, 6.</w:t>
      </w:r>
    </w:p>
  </w:footnote>
  <w:footnote w:id="51">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Wetsontwerp over de infrastructuren voor de markten voor financiële instrumenten en houdende omzetting van Richtlijn 2014/65/EU, </w:t>
      </w:r>
      <w:r w:rsidRPr="008D3595">
        <w:rPr>
          <w:rFonts w:cs="Times New Roman"/>
          <w:i/>
          <w:szCs w:val="16"/>
        </w:rPr>
        <w:t>Parl.St.</w:t>
      </w:r>
      <w:r w:rsidRPr="008D3595">
        <w:rPr>
          <w:rFonts w:cs="Times New Roman"/>
          <w:szCs w:val="16"/>
        </w:rPr>
        <w:t xml:space="preserve"> Kamer 2016-17, nr. 54-2658/1, 53.</w:t>
      </w:r>
    </w:p>
  </w:footnote>
  <w:footnote w:id="52">
    <w:p w:rsidR="00F84C16" w:rsidRPr="00F53385"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F53385">
        <w:rPr>
          <w:rFonts w:cs="Times New Roman"/>
          <w:szCs w:val="16"/>
          <w:lang w:val="en-US"/>
        </w:rPr>
        <w:t xml:space="preserve"> Art. 41 MiFIR.</w:t>
      </w:r>
    </w:p>
  </w:footnote>
  <w:footnote w:id="53">
    <w:p w:rsidR="00F84C16" w:rsidRPr="00F53385"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F53385">
        <w:rPr>
          <w:rFonts w:cs="Times New Roman"/>
          <w:szCs w:val="16"/>
          <w:lang w:val="en-US"/>
        </w:rPr>
        <w:t xml:space="preserve"> Art. 40 MiFIR.</w:t>
      </w:r>
    </w:p>
  </w:footnote>
  <w:footnote w:id="54">
    <w:p w:rsidR="00F84C16" w:rsidRPr="00CA10A0"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F53385">
        <w:rPr>
          <w:rFonts w:cs="Times New Roman"/>
          <w:szCs w:val="16"/>
          <w:lang w:val="en-US"/>
        </w:rPr>
        <w:t xml:space="preserve"> Artt. 40, 6 en 41, 6 </w:t>
      </w:r>
      <w:r w:rsidRPr="00CA10A0">
        <w:rPr>
          <w:rFonts w:cs="Times New Roman"/>
          <w:szCs w:val="16"/>
          <w:lang w:val="en-US"/>
        </w:rPr>
        <w:t>MiFIR.</w:t>
      </w:r>
    </w:p>
  </w:footnote>
  <w:footnote w:id="55">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Pr>
          <w:rFonts w:cs="Times New Roman"/>
          <w:szCs w:val="16"/>
        </w:rPr>
        <w:t xml:space="preserve"> Art.</w:t>
      </w:r>
      <w:r w:rsidRPr="008D3595">
        <w:rPr>
          <w:rFonts w:cs="Times New Roman"/>
          <w:szCs w:val="16"/>
        </w:rPr>
        <w:t xml:space="preserve"> 42 MiFIR.</w:t>
      </w:r>
    </w:p>
  </w:footnote>
  <w:footnote w:id="56">
    <w:p w:rsidR="00F84C16" w:rsidRDefault="00F84C16" w:rsidP="00F84C16">
      <w:pPr>
        <w:pStyle w:val="Voetnoottekst"/>
        <w:spacing w:before="0" w:line="276" w:lineRule="auto"/>
      </w:pPr>
      <w:r w:rsidRPr="00D32611">
        <w:rPr>
          <w:rStyle w:val="Voetnootmarkering"/>
        </w:rPr>
        <w:footnoteRef/>
      </w:r>
      <w:r w:rsidRPr="00D32611">
        <w:t xml:space="preserve"> </w:t>
      </w:r>
      <w:r>
        <w:t>Deze voorwaarde is uiteraard enkel van toepassing wanneer EBA of ESMA een maatregel willen nemen.</w:t>
      </w:r>
    </w:p>
  </w:footnote>
  <w:footnote w:id="57">
    <w:p w:rsidR="00F84C16" w:rsidRPr="005F1826" w:rsidRDefault="00F84C16" w:rsidP="00F84C16">
      <w:pPr>
        <w:pStyle w:val="Voetnoottekst"/>
        <w:spacing w:before="0" w:line="276" w:lineRule="auto"/>
        <w:rPr>
          <w:lang w:val="en-US"/>
        </w:rPr>
      </w:pPr>
      <w:r w:rsidRPr="005F1826">
        <w:rPr>
          <w:rStyle w:val="Voetnootmarkering"/>
        </w:rPr>
        <w:footnoteRef/>
      </w:r>
      <w:r w:rsidRPr="00980F34">
        <w:t xml:space="preserve"> Voor een </w:t>
      </w:r>
      <w:r>
        <w:t>gedetailleerd</w:t>
      </w:r>
      <w:r w:rsidRPr="00980F34">
        <w:t xml:space="preserve"> overzicht, zie D. BUSCH, “Product Governance and Product Intervention under MiFID II/MiFIR” in D. BUSCH en G. FERRARINI (eds.), </w:t>
      </w:r>
      <w:r w:rsidRPr="00980F34">
        <w:rPr>
          <w:i/>
        </w:rPr>
        <w:t xml:space="preserve">Regulation of the EU Financial Markets. </w:t>
      </w:r>
      <w:r w:rsidRPr="005F1826">
        <w:rPr>
          <w:i/>
          <w:lang w:val="en-US"/>
        </w:rPr>
        <w:t>MiFID II and MiFIR</w:t>
      </w:r>
      <w:r>
        <w:rPr>
          <w:lang w:val="en-US"/>
        </w:rPr>
        <w:t>, Oxford, Oxford University Press, 2017, 123-146.</w:t>
      </w:r>
    </w:p>
  </w:footnote>
  <w:footnote w:id="58">
    <w:p w:rsidR="00F84C16" w:rsidRPr="00F53385"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F53385">
        <w:rPr>
          <w:rFonts w:cs="Times New Roman"/>
          <w:szCs w:val="16"/>
          <w:lang w:val="en-US"/>
        </w:rPr>
        <w:t xml:space="preserve"> Art. 4, 15 j° Bijlage I, Deel C MiFID II.</w:t>
      </w:r>
    </w:p>
  </w:footnote>
  <w:footnote w:id="59">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Art</w:t>
      </w:r>
      <w:r>
        <w:rPr>
          <w:rFonts w:cs="Times New Roman"/>
          <w:szCs w:val="16"/>
        </w:rPr>
        <w:t>.</w:t>
      </w:r>
      <w:r w:rsidRPr="008D3595">
        <w:rPr>
          <w:rFonts w:cs="Times New Roman"/>
          <w:szCs w:val="16"/>
        </w:rPr>
        <w:t xml:space="preserve"> 30</w:t>
      </w:r>
      <w:r w:rsidRPr="008D3595">
        <w:rPr>
          <w:rFonts w:cs="Times New Roman"/>
          <w:i/>
          <w:szCs w:val="16"/>
        </w:rPr>
        <w:t>bis</w:t>
      </w:r>
      <w:r w:rsidRPr="008D3595">
        <w:rPr>
          <w:rFonts w:cs="Times New Roman"/>
          <w:szCs w:val="16"/>
        </w:rPr>
        <w:t xml:space="preserve"> WFT vereist immers niet dat sprake is van enige ‘complexiteit’, zie RvS 4 maart 2016</w:t>
      </w:r>
      <w:r>
        <w:rPr>
          <w:rFonts w:cs="Times New Roman"/>
          <w:szCs w:val="16"/>
        </w:rPr>
        <w:t>, nr. 234.037 (</w:t>
      </w:r>
      <w:r w:rsidRPr="00AB3FBE">
        <w:rPr>
          <w:rFonts w:cs="Times New Roman"/>
          <w:i/>
          <w:szCs w:val="16"/>
        </w:rPr>
        <w:t>supra</w:t>
      </w:r>
      <w:r w:rsidR="00B57C2E">
        <w:rPr>
          <w:rFonts w:cs="Times New Roman"/>
          <w:szCs w:val="16"/>
        </w:rPr>
        <w:t xml:space="preserve"> </w:t>
      </w:r>
      <w:r w:rsidR="00B57C2E">
        <w:rPr>
          <w:rFonts w:cs="Times New Roman"/>
          <w:szCs w:val="16"/>
        </w:rPr>
        <w:fldChar w:fldCharType="begin"/>
      </w:r>
      <w:r w:rsidR="00B57C2E">
        <w:rPr>
          <w:rFonts w:cs="Times New Roman"/>
          <w:szCs w:val="16"/>
        </w:rPr>
        <w:instrText xml:space="preserve"> PAGEREF _Ref531339627 \h </w:instrText>
      </w:r>
      <w:r w:rsidR="00B57C2E">
        <w:rPr>
          <w:rFonts w:cs="Times New Roman"/>
          <w:szCs w:val="16"/>
        </w:rPr>
      </w:r>
      <w:r w:rsidR="00B57C2E">
        <w:rPr>
          <w:rFonts w:cs="Times New Roman"/>
          <w:szCs w:val="16"/>
        </w:rPr>
        <w:fldChar w:fldCharType="separate"/>
      </w:r>
      <w:r w:rsidR="00B57C2E">
        <w:rPr>
          <w:rFonts w:cs="Times New Roman"/>
          <w:noProof/>
          <w:szCs w:val="16"/>
        </w:rPr>
        <w:t>5</w:t>
      </w:r>
      <w:r w:rsidR="00B57C2E">
        <w:rPr>
          <w:rFonts w:cs="Times New Roman"/>
          <w:szCs w:val="16"/>
        </w:rPr>
        <w:fldChar w:fldCharType="end"/>
      </w:r>
      <w:r>
        <w:rPr>
          <w:rFonts w:cs="Times New Roman"/>
          <w:szCs w:val="16"/>
        </w:rPr>
        <w:t xml:space="preserve">, nr. </w:t>
      </w:r>
      <w:r>
        <w:rPr>
          <w:rFonts w:cs="Times New Roman"/>
          <w:szCs w:val="16"/>
        </w:rPr>
        <w:fldChar w:fldCharType="begin"/>
      </w:r>
      <w:r>
        <w:rPr>
          <w:rFonts w:cs="Times New Roman"/>
          <w:szCs w:val="16"/>
        </w:rPr>
        <w:instrText xml:space="preserve"> REF _Ref531339627 \r \h  \* MERGEFORMAT </w:instrText>
      </w:r>
      <w:r>
        <w:rPr>
          <w:rFonts w:cs="Times New Roman"/>
          <w:szCs w:val="16"/>
        </w:rPr>
      </w:r>
      <w:r>
        <w:rPr>
          <w:rFonts w:cs="Times New Roman"/>
          <w:szCs w:val="16"/>
        </w:rPr>
        <w:fldChar w:fldCharType="separate"/>
      </w:r>
      <w:r w:rsidR="00882805">
        <w:rPr>
          <w:rFonts w:cs="Times New Roman"/>
          <w:szCs w:val="16"/>
        </w:rPr>
        <w:t>4</w:t>
      </w:r>
      <w:r>
        <w:rPr>
          <w:rFonts w:cs="Times New Roman"/>
          <w:szCs w:val="16"/>
        </w:rPr>
        <w:fldChar w:fldCharType="end"/>
      </w:r>
      <w:r>
        <w:rPr>
          <w:rFonts w:cs="Times New Roman"/>
          <w:szCs w:val="16"/>
        </w:rPr>
        <w:t>).</w:t>
      </w:r>
    </w:p>
  </w:footnote>
  <w:footnote w:id="60">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Voor een overzicht van alle productinterventiemaatregelen </w:t>
      </w:r>
      <w:r>
        <w:rPr>
          <w:rFonts w:cs="Times New Roman"/>
          <w:szCs w:val="16"/>
        </w:rPr>
        <w:t>in de</w:t>
      </w:r>
      <w:r w:rsidRPr="008D3595">
        <w:rPr>
          <w:rFonts w:cs="Times New Roman"/>
          <w:szCs w:val="16"/>
        </w:rPr>
        <w:t xml:space="preserve"> EU-lidstaten, zie EUROPEAN SECURITIES AND MARKETS STAKEHOLDER GROUP (SMSG), </w:t>
      </w:r>
      <w:r w:rsidRPr="008D3595">
        <w:rPr>
          <w:rFonts w:cs="Times New Roman"/>
          <w:i/>
          <w:szCs w:val="16"/>
        </w:rPr>
        <w:t>Advice to ESMA – own initiative report on product intervention under MiFIR</w:t>
      </w:r>
      <w:r w:rsidRPr="008D3595">
        <w:rPr>
          <w:rFonts w:cs="Times New Roman"/>
          <w:szCs w:val="16"/>
        </w:rPr>
        <w:t xml:space="preserve">, 16 juni 2017, ESMA22-106-264, </w:t>
      </w:r>
      <w:r w:rsidRPr="008D3595">
        <w:rPr>
          <w:rStyle w:val="Hyperlink"/>
          <w:rFonts w:cs="Times New Roman"/>
          <w:color w:val="auto"/>
          <w:szCs w:val="16"/>
          <w:u w:val="none"/>
        </w:rPr>
        <w:t>https://www.esma.europa.eu/sites/default/files/library/esma22-106-264_smsg_own_initiat ive_report_product_intervention_0.pdf</w:t>
      </w:r>
      <w:r>
        <w:rPr>
          <w:rStyle w:val="Hyperlink"/>
          <w:rFonts w:cs="Times New Roman"/>
          <w:color w:val="auto"/>
          <w:szCs w:val="16"/>
          <w:u w:val="none"/>
        </w:rPr>
        <w:t xml:space="preserve">, </w:t>
      </w:r>
      <w:r w:rsidRPr="008D3595">
        <w:rPr>
          <w:rFonts w:cs="Times New Roman"/>
          <w:szCs w:val="16"/>
        </w:rPr>
        <w:t>10-40.</w:t>
      </w:r>
    </w:p>
  </w:footnote>
  <w:footnote w:id="61">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t>
      </w:r>
      <w:r>
        <w:rPr>
          <w:rFonts w:cs="Times New Roman"/>
          <w:szCs w:val="16"/>
        </w:rPr>
        <w:t xml:space="preserve">De complexiteit van een financieel product is te onderscheiden van zijn risico. Het is pas wanneer de complexiteit aanleiding geeft tot een verkeerde inschatting van de hoge risico’s dat productinterventies werden en zouden moeten worden genomen, zie ook </w:t>
      </w:r>
      <w:r w:rsidRPr="008D3595">
        <w:rPr>
          <w:rFonts w:cs="Times New Roman"/>
          <w:szCs w:val="16"/>
        </w:rPr>
        <w:t xml:space="preserve">M. TISON, “De intrusieve toezichthouder en het informatieparadigma: Beschouwingen bij de regulering van financiële productinterventie” </w:t>
      </w:r>
      <w:r>
        <w:rPr>
          <w:rFonts w:cs="Times New Roman"/>
          <w:szCs w:val="16"/>
        </w:rPr>
        <w:t xml:space="preserve">in E. WYMEERSCH, R. HOUBEN en E. DIRIX (eds.), </w:t>
      </w:r>
      <w:r w:rsidRPr="00FD46D0">
        <w:rPr>
          <w:rFonts w:cs="Times New Roman"/>
          <w:i/>
          <w:szCs w:val="16"/>
        </w:rPr>
        <w:t>In het vennootschapsbelang</w:t>
      </w:r>
      <w:r>
        <w:rPr>
          <w:rFonts w:cs="Times New Roman"/>
          <w:szCs w:val="16"/>
        </w:rPr>
        <w:t>, Antwerpen, Intersentia, 2017, (473) 487</w:t>
      </w:r>
      <w:r w:rsidRPr="008D3595">
        <w:rPr>
          <w:rFonts w:cs="Times New Roman"/>
          <w:szCs w:val="16"/>
        </w:rPr>
        <w:t>.</w:t>
      </w:r>
    </w:p>
  </w:footnote>
  <w:footnote w:id="62">
    <w:p w:rsidR="00F84C16" w:rsidRPr="008D3595" w:rsidRDefault="00F84C16" w:rsidP="00F84C16">
      <w:pPr>
        <w:pStyle w:val="Voetnoottekst"/>
        <w:spacing w:before="0" w:line="276" w:lineRule="auto"/>
        <w:rPr>
          <w:rFonts w:cs="Times New Roman"/>
          <w:i/>
          <w:szCs w:val="16"/>
          <w:lang w:val="en-US"/>
        </w:rPr>
      </w:pPr>
      <w:r w:rsidRPr="008D3595">
        <w:rPr>
          <w:rStyle w:val="Voetnootmarkering"/>
          <w:rFonts w:cs="Times New Roman"/>
          <w:szCs w:val="16"/>
        </w:rPr>
        <w:footnoteRef/>
      </w:r>
      <w:r w:rsidRPr="008D3595">
        <w:rPr>
          <w:rFonts w:cs="Times New Roman"/>
          <w:szCs w:val="16"/>
          <w:lang w:val="en-US"/>
        </w:rPr>
        <w:t xml:space="preserve"> </w:t>
      </w:r>
      <w:r>
        <w:rPr>
          <w:rFonts w:cs="Times New Roman"/>
          <w:szCs w:val="16"/>
          <w:lang w:val="en-US"/>
        </w:rPr>
        <w:t>ESMA</w:t>
      </w:r>
      <w:r w:rsidRPr="008D3595">
        <w:rPr>
          <w:rFonts w:cs="Times New Roman"/>
          <w:szCs w:val="16"/>
          <w:lang w:val="en-US"/>
        </w:rPr>
        <w:t xml:space="preserve">, </w:t>
      </w:r>
      <w:r w:rsidRPr="008D3595">
        <w:rPr>
          <w:rFonts w:cs="Times New Roman"/>
          <w:i/>
          <w:szCs w:val="16"/>
          <w:lang w:val="en-US"/>
        </w:rPr>
        <w:t>Opinion on the impact of the exclusion of fund management companies from the scope of the MiFIR Intervention Powers</w:t>
      </w:r>
      <w:r w:rsidRPr="008D3595">
        <w:rPr>
          <w:rFonts w:cs="Times New Roman"/>
          <w:szCs w:val="16"/>
          <w:lang w:val="en-US"/>
        </w:rPr>
        <w:t>, 12 januari 2017, ESMA50-1215332076-23, https://www.esma.europa.eu/sites/default/files/library/</w:t>
      </w:r>
      <w:r>
        <w:rPr>
          <w:rFonts w:cs="Times New Roman"/>
          <w:szCs w:val="16"/>
          <w:lang w:val="en-US"/>
        </w:rPr>
        <w:t>esma50-1215332076-23_opinion_mifir_</w:t>
      </w:r>
      <w:r w:rsidRPr="008D3595">
        <w:rPr>
          <w:rFonts w:cs="Times New Roman"/>
          <w:szCs w:val="16"/>
          <w:lang w:val="en-US"/>
        </w:rPr>
        <w:t>intervention</w:t>
      </w:r>
      <w:r>
        <w:rPr>
          <w:rFonts w:cs="Times New Roman"/>
          <w:szCs w:val="16"/>
          <w:lang w:val="en-US"/>
        </w:rPr>
        <w:t xml:space="preserve"> </w:t>
      </w:r>
      <w:r w:rsidRPr="008D3595">
        <w:rPr>
          <w:rFonts w:cs="Times New Roman"/>
          <w:szCs w:val="16"/>
          <w:lang w:val="en-US"/>
        </w:rPr>
        <w:t>_powers.pdf.</w:t>
      </w:r>
    </w:p>
  </w:footnote>
  <w:footnote w:id="63">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V. COLAERT, “Het toepassingsgebied van de MiFIR-productinterventiemaatregelen”, </w:t>
      </w:r>
      <w:r w:rsidRPr="008D3595">
        <w:rPr>
          <w:rFonts w:cs="Times New Roman"/>
          <w:i/>
          <w:szCs w:val="16"/>
        </w:rPr>
        <w:t>RPS-TRV</w:t>
      </w:r>
      <w:r w:rsidRPr="008D3595">
        <w:rPr>
          <w:rFonts w:cs="Times New Roman"/>
          <w:szCs w:val="16"/>
        </w:rPr>
        <w:t xml:space="preserve"> 2017, (965) 966.</w:t>
      </w:r>
    </w:p>
  </w:footnote>
  <w:footnote w:id="64">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Zie </w:t>
      </w:r>
      <w:r w:rsidR="00304481">
        <w:rPr>
          <w:rFonts w:cs="Times New Roman"/>
          <w:szCs w:val="16"/>
        </w:rPr>
        <w:t>de nauwgezette argumentatie</w:t>
      </w:r>
      <w:r w:rsidRPr="008D3595">
        <w:rPr>
          <w:rFonts w:cs="Times New Roman"/>
          <w:szCs w:val="16"/>
        </w:rPr>
        <w:t xml:space="preserve"> van het SMSG en COLAERT</w:t>
      </w:r>
      <w:r w:rsidR="00304481">
        <w:rPr>
          <w:rFonts w:cs="Times New Roman"/>
          <w:szCs w:val="16"/>
        </w:rPr>
        <w:t xml:space="preserve"> om de beperkende interpretatie achterwege te laten</w:t>
      </w:r>
      <w:r w:rsidRPr="008D3595">
        <w:rPr>
          <w:rFonts w:cs="Times New Roman"/>
          <w:szCs w:val="16"/>
        </w:rPr>
        <w:t xml:space="preserve">, EUROPEAN SECURITIES AND MARKETS STAKEHOLDER GROUP (SMSG), </w:t>
      </w:r>
      <w:r w:rsidRPr="008D3595">
        <w:rPr>
          <w:rFonts w:cs="Times New Roman"/>
          <w:i/>
          <w:szCs w:val="16"/>
        </w:rPr>
        <w:t>Advice to ESMA – own initiative report on product intervention under MiFIR</w:t>
      </w:r>
      <w:r w:rsidRPr="008D3595">
        <w:rPr>
          <w:rFonts w:cs="Times New Roman"/>
          <w:szCs w:val="16"/>
        </w:rPr>
        <w:t xml:space="preserve">, 16 juni 2017, ESMA22-106-264, </w:t>
      </w:r>
      <w:hyperlink r:id="rId2" w:history="1">
        <w:r w:rsidRPr="00037919">
          <w:rPr>
            <w:rStyle w:val="Hyperlink"/>
            <w:rFonts w:cs="Times New Roman"/>
            <w:color w:val="auto"/>
            <w:szCs w:val="16"/>
            <w:u w:val="none"/>
          </w:rPr>
          <w:t>https://www.esma.europa.eu/sites/default/files/library/esma22-106-264_smsg_own_initiative_report_product_intervention_0.pdf</w:t>
        </w:r>
      </w:hyperlink>
      <w:r>
        <w:rPr>
          <w:rStyle w:val="Hyperlink"/>
          <w:rFonts w:cs="Times New Roman"/>
          <w:color w:val="auto"/>
          <w:szCs w:val="16"/>
          <w:u w:val="none"/>
        </w:rPr>
        <w:t>, 5</w:t>
      </w:r>
      <w:r w:rsidRPr="008D3595">
        <w:rPr>
          <w:rFonts w:cs="Times New Roman"/>
          <w:szCs w:val="16"/>
        </w:rPr>
        <w:t xml:space="preserve">; V. COLAERT, “Het toepassingsgebied van de MiFIR-productinterventiemaatregelen”, </w:t>
      </w:r>
      <w:r w:rsidRPr="008D3595">
        <w:rPr>
          <w:rFonts w:cs="Times New Roman"/>
          <w:i/>
          <w:szCs w:val="16"/>
        </w:rPr>
        <w:t>RPS-TRV</w:t>
      </w:r>
      <w:r w:rsidRPr="008D3595">
        <w:rPr>
          <w:rFonts w:cs="Times New Roman"/>
          <w:szCs w:val="16"/>
        </w:rPr>
        <w:t xml:space="preserve"> 2017, (965)</w:t>
      </w:r>
      <w:r>
        <w:rPr>
          <w:rFonts w:cs="Times New Roman"/>
          <w:szCs w:val="16"/>
        </w:rPr>
        <w:t xml:space="preserve"> </w:t>
      </w:r>
      <w:r w:rsidRPr="008D3595">
        <w:rPr>
          <w:rFonts w:cs="Times New Roman"/>
          <w:szCs w:val="16"/>
        </w:rPr>
        <w:t>966-967.</w:t>
      </w:r>
    </w:p>
  </w:footnote>
  <w:footnote w:id="65">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J.P. SERVAIS, </w:t>
      </w:r>
      <w:r w:rsidRPr="00191386">
        <w:rPr>
          <w:rFonts w:cs="Times New Roman"/>
          <w:szCs w:val="16"/>
        </w:rPr>
        <w:t xml:space="preserve">“Les pouvoirs d’intervention sur les produits reconnus aux superviseurs: un nouvel outil en vue de la protection des investisseurs” in </w:t>
      </w:r>
      <w:r>
        <w:rPr>
          <w:rFonts w:cs="Times New Roman"/>
          <w:szCs w:val="16"/>
        </w:rPr>
        <w:t>I. DE MEULENEERE, V. COLAERT, W. KUPERS en A.S. PIJCKE (eds.),</w:t>
      </w:r>
      <w:r w:rsidRPr="008D3595">
        <w:rPr>
          <w:rFonts w:cs="Times New Roman"/>
          <w:szCs w:val="16"/>
        </w:rPr>
        <w:t xml:space="preserve"> </w:t>
      </w:r>
      <w:r w:rsidRPr="008D3595">
        <w:rPr>
          <w:rFonts w:cs="Times New Roman"/>
          <w:i/>
          <w:szCs w:val="16"/>
        </w:rPr>
        <w:t>MiFID II &amp; MiFIR: capita selecta</w:t>
      </w:r>
      <w:r w:rsidRPr="008D3595">
        <w:rPr>
          <w:rFonts w:cs="Times New Roman"/>
          <w:szCs w:val="16"/>
        </w:rPr>
        <w:t>,</w:t>
      </w:r>
      <w:r>
        <w:rPr>
          <w:rFonts w:cs="Times New Roman"/>
          <w:szCs w:val="16"/>
        </w:rPr>
        <w:t xml:space="preserve"> Louvain-La Neuve, Anthemis, 2018,</w:t>
      </w:r>
      <w:r w:rsidRPr="00191386">
        <w:rPr>
          <w:rFonts w:cs="Times New Roman"/>
          <w:szCs w:val="16"/>
        </w:rPr>
        <w:t xml:space="preserve"> (229)</w:t>
      </w:r>
      <w:r w:rsidRPr="008D3595">
        <w:rPr>
          <w:rFonts w:cs="Times New Roman"/>
          <w:szCs w:val="16"/>
        </w:rPr>
        <w:t xml:space="preserve"> 247.</w:t>
      </w:r>
    </w:p>
  </w:footnote>
  <w:footnote w:id="66">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Besluit.Europese Autoriteit voor Effecten en Markten nr. 2018/795, 22 mei 2018 om het op de markt brengen, verspreiden of verkopen van binaire opties aan niet-professionele cliënten in de Europese Unie tijdelijk te</w:t>
      </w:r>
      <w:r>
        <w:rPr>
          <w:rFonts w:cs="Times New Roman"/>
          <w:szCs w:val="16"/>
        </w:rPr>
        <w:t xml:space="preserve"> verbieden overeenkomstig art.</w:t>
      </w:r>
      <w:r w:rsidRPr="008D3595">
        <w:rPr>
          <w:rFonts w:cs="Times New Roman"/>
          <w:szCs w:val="16"/>
        </w:rPr>
        <w:t xml:space="preserve"> 40 van Verordening (EU) nr. 600/2014 van het Europese Parlement en de Raad, </w:t>
      </w:r>
      <w:r w:rsidRPr="00AC11C7">
        <w:rPr>
          <w:rFonts w:cs="Times New Roman"/>
          <w:i/>
          <w:szCs w:val="16"/>
        </w:rPr>
        <w:t>Pb.L.</w:t>
      </w:r>
      <w:r w:rsidRPr="008D3595">
        <w:rPr>
          <w:rFonts w:cs="Times New Roman"/>
          <w:szCs w:val="16"/>
        </w:rPr>
        <w:t xml:space="preserve"> 1 juni 2018, afl. 136, 31 (hierna: ‘Binaire opties-besluit’).</w:t>
      </w:r>
    </w:p>
  </w:footnote>
  <w:footnote w:id="67">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Besluit.Europese Autoriteit voor Effecten en Markten nr. 2018/796, 22 mei 2018 om tijdelijke beperkingen op te leggen aan contracts for differences (CFD’s) i</w:t>
      </w:r>
      <w:r>
        <w:rPr>
          <w:rFonts w:cs="Times New Roman"/>
          <w:szCs w:val="16"/>
        </w:rPr>
        <w:t>n de Unie overeenkomstig art.</w:t>
      </w:r>
      <w:r w:rsidRPr="008D3595">
        <w:rPr>
          <w:rFonts w:cs="Times New Roman"/>
          <w:szCs w:val="16"/>
        </w:rPr>
        <w:t xml:space="preserve"> 40 van Verordening (EU) nr. 600/2014 van het Europees Parlement en de Raad, </w:t>
      </w:r>
      <w:r w:rsidRPr="008D3595">
        <w:rPr>
          <w:rFonts w:cs="Times New Roman"/>
          <w:i/>
          <w:szCs w:val="16"/>
        </w:rPr>
        <w:t>Pb.L.</w:t>
      </w:r>
      <w:r w:rsidRPr="008D3595">
        <w:rPr>
          <w:rFonts w:cs="Times New Roman"/>
          <w:szCs w:val="16"/>
        </w:rPr>
        <w:t xml:space="preserve"> 1 juni 2018, afl. 136, 50 (hierna: ‘CFD-besluit).</w:t>
      </w:r>
    </w:p>
  </w:footnote>
  <w:footnote w:id="68">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Overw. 77 Binaire opties-besluit.</w:t>
      </w:r>
    </w:p>
  </w:footnote>
  <w:footnote w:id="69">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Vrijwillige maatregelen kunnen </w:t>
      </w:r>
      <w:r w:rsidRPr="008D3595">
        <w:rPr>
          <w:rFonts w:cs="Times New Roman"/>
          <w:i/>
          <w:szCs w:val="16"/>
        </w:rPr>
        <w:t>de jure</w:t>
      </w:r>
      <w:r w:rsidRPr="008D3595">
        <w:rPr>
          <w:rFonts w:cs="Times New Roman"/>
          <w:szCs w:val="16"/>
        </w:rPr>
        <w:t xml:space="preserve"> niet gekwalificeerd worden als productinterventiemaatregelen, zie </w:t>
      </w:r>
      <w:r w:rsidRPr="00FD7ADA">
        <w:rPr>
          <w:rFonts w:cs="Times New Roman"/>
          <w:szCs w:val="16"/>
        </w:rPr>
        <w:t>V.</w:t>
      </w:r>
      <w:r>
        <w:rPr>
          <w:rFonts w:cs="Times New Roman"/>
          <w:szCs w:val="16"/>
        </w:rPr>
        <w:t xml:space="preserve"> COLAERT</w:t>
      </w:r>
      <w:r w:rsidRPr="00FD7ADA">
        <w:rPr>
          <w:rFonts w:cs="Times New Roman"/>
          <w:szCs w:val="16"/>
        </w:rPr>
        <w:t xml:space="preserve">, “Productinterventie: Sluitsteen van het vernieuwe beleggersbeschermingsregime”, </w:t>
      </w:r>
      <w:r w:rsidRPr="00FD7ADA">
        <w:rPr>
          <w:rFonts w:cs="Times New Roman"/>
          <w:i/>
          <w:szCs w:val="16"/>
        </w:rPr>
        <w:t>BFR</w:t>
      </w:r>
      <w:r>
        <w:rPr>
          <w:rFonts w:cs="Times New Roman"/>
          <w:szCs w:val="16"/>
        </w:rPr>
        <w:t xml:space="preserve"> 2017</w:t>
      </w:r>
      <w:r w:rsidRPr="00FD7ADA">
        <w:rPr>
          <w:rFonts w:cs="Times New Roman"/>
          <w:szCs w:val="16"/>
        </w:rPr>
        <w:t xml:space="preserve">, </w:t>
      </w:r>
      <w:r>
        <w:rPr>
          <w:rFonts w:cs="Times New Roman"/>
          <w:szCs w:val="16"/>
        </w:rPr>
        <w:t>(</w:t>
      </w:r>
      <w:r w:rsidRPr="00FD7ADA">
        <w:rPr>
          <w:rFonts w:cs="Times New Roman"/>
          <w:szCs w:val="16"/>
        </w:rPr>
        <w:t>403</w:t>
      </w:r>
      <w:r>
        <w:rPr>
          <w:rFonts w:cs="Times New Roman"/>
          <w:szCs w:val="16"/>
        </w:rPr>
        <w:t>) 408</w:t>
      </w:r>
      <w:r w:rsidRPr="008D3595">
        <w:rPr>
          <w:rFonts w:cs="Times New Roman"/>
          <w:szCs w:val="16"/>
        </w:rPr>
        <w:t>, nr. 27</w:t>
      </w:r>
      <w:r>
        <w:rPr>
          <w:rFonts w:cs="Times New Roman"/>
          <w:szCs w:val="16"/>
        </w:rPr>
        <w:t xml:space="preserve"> (hierna: V. COLAERT, “Productinterventie”)</w:t>
      </w:r>
      <w:r w:rsidRPr="008D3595">
        <w:rPr>
          <w:rFonts w:cs="Times New Roman"/>
          <w:szCs w:val="16"/>
        </w:rPr>
        <w:t>.</w:t>
      </w:r>
    </w:p>
  </w:footnote>
  <w:footnote w:id="70">
    <w:p w:rsidR="00F84C16" w:rsidRPr="008D3595" w:rsidRDefault="00F84C16" w:rsidP="00F84C16">
      <w:pPr>
        <w:pStyle w:val="Voetnoottekst"/>
        <w:spacing w:before="0" w:line="276" w:lineRule="auto"/>
        <w:rPr>
          <w:rFonts w:cs="Times New Roman"/>
          <w:szCs w:val="16"/>
        </w:rPr>
      </w:pPr>
      <w:bookmarkStart w:id="12" w:name="_Ref531685540"/>
      <w:r w:rsidRPr="008D3595">
        <w:rPr>
          <w:rStyle w:val="Voetnootmarkering"/>
          <w:rFonts w:cs="Times New Roman"/>
          <w:szCs w:val="16"/>
        </w:rPr>
        <w:footnoteRef/>
      </w:r>
      <w:r w:rsidRPr="008D3595">
        <w:rPr>
          <w:rFonts w:cs="Times New Roman"/>
          <w:szCs w:val="16"/>
        </w:rPr>
        <w:t xml:space="preserve"> Bepaalde binaire opties zijn sinds de eerste verlenging terug toegestaan omdat de </w:t>
      </w:r>
      <w:r>
        <w:rPr>
          <w:rFonts w:cs="Times New Roman"/>
          <w:szCs w:val="16"/>
        </w:rPr>
        <w:t>ESMA tot de conclusie kwam dat deze</w:t>
      </w:r>
      <w:r w:rsidRPr="008D3595">
        <w:rPr>
          <w:rFonts w:cs="Times New Roman"/>
          <w:szCs w:val="16"/>
        </w:rPr>
        <w:t xml:space="preserve"> geen aanleiding gaven tot een significante bezorgdheid </w:t>
      </w:r>
      <w:r>
        <w:rPr>
          <w:rFonts w:cs="Times New Roman"/>
          <w:szCs w:val="16"/>
        </w:rPr>
        <w:t>in de zin van MiFIR, zie art.</w:t>
      </w:r>
      <w:r w:rsidRPr="008D3595">
        <w:rPr>
          <w:rFonts w:cs="Times New Roman"/>
          <w:szCs w:val="16"/>
        </w:rPr>
        <w:t xml:space="preserve"> 1, 3 Besluit.Europese Autoriteit voor Effecten en Markten nr. 2018/1466, 21 september 2018 tot verlenging en wijziging van het tijdelijk verbod op het op de markt brengen, verspreiden of verkopen van binaire opties aan niet-professionele cliënten, zoals vastgelegd in Besluit (EU) 2018/795, </w:t>
      </w:r>
      <w:r w:rsidRPr="008D3595">
        <w:rPr>
          <w:rFonts w:cs="Times New Roman"/>
          <w:i/>
          <w:szCs w:val="16"/>
        </w:rPr>
        <w:t>Pb.L.</w:t>
      </w:r>
      <w:r w:rsidRPr="008D3595">
        <w:rPr>
          <w:rFonts w:cs="Times New Roman"/>
          <w:szCs w:val="16"/>
        </w:rPr>
        <w:t xml:space="preserve"> 1 oktober 2018, afl. 245, 17.</w:t>
      </w:r>
      <w:bookmarkEnd w:id="12"/>
    </w:p>
  </w:footnote>
  <w:footnote w:id="71">
    <w:p w:rsidR="00F84C16" w:rsidRPr="00CA10A0"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CA10A0">
        <w:rPr>
          <w:rFonts w:cs="Times New Roman"/>
          <w:szCs w:val="16"/>
          <w:lang w:val="en-US"/>
        </w:rPr>
        <w:t xml:space="preserve"> Bijlage I CFD-besluit.</w:t>
      </w:r>
    </w:p>
  </w:footnote>
  <w:footnote w:id="72">
    <w:p w:rsidR="00F84C16" w:rsidRPr="0054395C" w:rsidRDefault="00F84C16" w:rsidP="00F84C16">
      <w:pPr>
        <w:pStyle w:val="Voetnoottekst"/>
        <w:spacing w:line="276" w:lineRule="auto"/>
        <w:rPr>
          <w:lang w:val="en-US"/>
        </w:rPr>
      </w:pPr>
      <w:r>
        <w:rPr>
          <w:rStyle w:val="Voetnootmarkering"/>
        </w:rPr>
        <w:footnoteRef/>
      </w:r>
      <w:r w:rsidRPr="0054395C">
        <w:rPr>
          <w:lang w:val="en-US"/>
        </w:rPr>
        <w:t xml:space="preserve"> </w:t>
      </w:r>
      <w:r w:rsidRPr="0054395C">
        <w:rPr>
          <w:rFonts w:cs="Times New Roman"/>
          <w:szCs w:val="16"/>
          <w:lang w:val="en-US"/>
        </w:rPr>
        <w:t xml:space="preserve">EUROPEAN SECURITIES AND MARKETS STAKEHOLDER GROUP (SMSG), </w:t>
      </w:r>
      <w:r w:rsidRPr="0054395C">
        <w:rPr>
          <w:rFonts w:cs="Times New Roman"/>
          <w:i/>
          <w:szCs w:val="16"/>
          <w:lang w:val="en-US"/>
        </w:rPr>
        <w:t>Advice to ESMA – own initiative report on product intervention under MiFIR</w:t>
      </w:r>
      <w:r w:rsidRPr="0054395C">
        <w:rPr>
          <w:rFonts w:cs="Times New Roman"/>
          <w:szCs w:val="16"/>
          <w:lang w:val="en-US"/>
        </w:rPr>
        <w:t xml:space="preserve">, 16 juni 2017, ESMA22-106-264, </w:t>
      </w:r>
      <w:hyperlink r:id="rId3" w:history="1">
        <w:r w:rsidRPr="0054395C">
          <w:rPr>
            <w:rStyle w:val="Hyperlink"/>
            <w:rFonts w:cs="Times New Roman"/>
            <w:color w:val="auto"/>
            <w:szCs w:val="16"/>
            <w:u w:val="none"/>
            <w:lang w:val="en-US"/>
          </w:rPr>
          <w:t>https://www.esma.europa.eu/sites/default/files/library/esma22-106-264_smsg_own_initiative_report_product_intervention_0.pdf</w:t>
        </w:r>
      </w:hyperlink>
      <w:r w:rsidRPr="0054395C">
        <w:rPr>
          <w:rStyle w:val="Hyperlink"/>
          <w:rFonts w:cs="Times New Roman"/>
          <w:color w:val="auto"/>
          <w:szCs w:val="16"/>
          <w:u w:val="none"/>
          <w:lang w:val="en-US"/>
        </w:rPr>
        <w:t xml:space="preserve">, 6; </w:t>
      </w:r>
      <w:r w:rsidRPr="0054395C">
        <w:rPr>
          <w:rFonts w:cs="Times New Roman"/>
          <w:szCs w:val="16"/>
          <w:lang w:val="en-US"/>
        </w:rPr>
        <w:t>V. COLAERT, “Productinterventie”</w:t>
      </w:r>
      <w:r>
        <w:rPr>
          <w:rFonts w:cs="Times New Roman"/>
          <w:szCs w:val="16"/>
          <w:lang w:val="en-US"/>
        </w:rPr>
        <w:t>,</w:t>
      </w:r>
      <w:r w:rsidRPr="0054395C">
        <w:rPr>
          <w:rFonts w:cs="Times New Roman"/>
          <w:szCs w:val="16"/>
          <w:lang w:val="en-US"/>
        </w:rPr>
        <w:t xml:space="preserve"> (403) 409, nr. 28.</w:t>
      </w:r>
    </w:p>
  </w:footnote>
  <w:footnote w:id="73">
    <w:p w:rsidR="00F84C16" w:rsidRDefault="00F84C16" w:rsidP="00F84C16">
      <w:pPr>
        <w:pStyle w:val="Voetnoottekst"/>
        <w:spacing w:line="276" w:lineRule="auto"/>
      </w:pPr>
      <w:r>
        <w:rPr>
          <w:rStyle w:val="Voetnootmarkering"/>
        </w:rPr>
        <w:footnoteRef/>
      </w:r>
      <w:r>
        <w:t xml:space="preserve"> </w:t>
      </w:r>
      <w:r w:rsidRPr="008D3595">
        <w:rPr>
          <w:rFonts w:cs="Times New Roman"/>
          <w:szCs w:val="16"/>
        </w:rPr>
        <w:t xml:space="preserve">Wetsontwerp over de infrastructuren voor de markten voor financiële instrumenten en houdende omzetting van Richtlijn 2014/65/EU, </w:t>
      </w:r>
      <w:r w:rsidRPr="008D3595">
        <w:rPr>
          <w:rFonts w:cs="Times New Roman"/>
          <w:i/>
          <w:szCs w:val="16"/>
        </w:rPr>
        <w:t>Parl.St.</w:t>
      </w:r>
      <w:r w:rsidRPr="008D3595">
        <w:rPr>
          <w:rFonts w:cs="Times New Roman"/>
          <w:szCs w:val="16"/>
        </w:rPr>
        <w:t xml:space="preserve"> Kamer 2016-17, nr. 54-2658/1, 53.</w:t>
      </w:r>
    </w:p>
  </w:footnote>
  <w:footnote w:id="74">
    <w:p w:rsidR="00F84C16" w:rsidRPr="00191386"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191386">
        <w:rPr>
          <w:rFonts w:cs="Times New Roman"/>
          <w:szCs w:val="16"/>
        </w:rPr>
        <w:t xml:space="preserve"> J.P SERVAIS, “Les pouvoirs d’intervention sur les produits reconnus aux superviseurs: un nouvel outil en vue de la protection des investisseurs” in </w:t>
      </w:r>
      <w:r>
        <w:rPr>
          <w:rFonts w:cs="Times New Roman"/>
          <w:szCs w:val="16"/>
        </w:rPr>
        <w:t xml:space="preserve">I. DE MEULENEERE, V. COLAERT, W. KUPERS en A.S. PIJCKE (eds.), </w:t>
      </w:r>
      <w:r w:rsidRPr="008D3595">
        <w:rPr>
          <w:rFonts w:cs="Times New Roman"/>
          <w:i/>
          <w:szCs w:val="16"/>
        </w:rPr>
        <w:t>MiFID II &amp; MiFIR: capita selecta</w:t>
      </w:r>
      <w:r w:rsidRPr="008D3595">
        <w:rPr>
          <w:rFonts w:cs="Times New Roman"/>
          <w:szCs w:val="16"/>
        </w:rPr>
        <w:t>,</w:t>
      </w:r>
      <w:r>
        <w:rPr>
          <w:rFonts w:cs="Times New Roman"/>
          <w:szCs w:val="16"/>
        </w:rPr>
        <w:t xml:space="preserve"> Louvain-La Neuve, Anthemis, 2018,</w:t>
      </w:r>
      <w:r w:rsidRPr="00191386">
        <w:rPr>
          <w:rFonts w:cs="Times New Roman"/>
          <w:szCs w:val="16"/>
        </w:rPr>
        <w:t xml:space="preserve"> (229) 246.</w:t>
      </w:r>
    </w:p>
  </w:footnote>
  <w:footnote w:id="75">
    <w:p w:rsidR="00F84C16" w:rsidRDefault="00F84C16" w:rsidP="00F84C16">
      <w:pPr>
        <w:pStyle w:val="Voetnoottekst"/>
        <w:spacing w:line="276" w:lineRule="auto"/>
      </w:pPr>
      <w:r>
        <w:rPr>
          <w:rStyle w:val="Voetnootmarkering"/>
        </w:rPr>
        <w:footnoteRef/>
      </w:r>
      <w:r>
        <w:t xml:space="preserve"> Er bestaan drie </w:t>
      </w:r>
      <w:r>
        <w:rPr>
          <w:i/>
        </w:rPr>
        <w:t>European Supervisory Authorities</w:t>
      </w:r>
      <w:r>
        <w:t xml:space="preserve"> (ESA), met name ESMA, EBA en EIOPA, zie X, </w:t>
      </w:r>
      <w:r>
        <w:rPr>
          <w:i/>
        </w:rPr>
        <w:t>European Superviosry Network</w:t>
      </w:r>
      <w:r>
        <w:t xml:space="preserve">, </w:t>
      </w:r>
      <w:hyperlink r:id="rId4" w:history="1">
        <w:r w:rsidRPr="002F0F39">
          <w:rPr>
            <w:rStyle w:val="Hyperlink"/>
            <w:color w:val="auto"/>
            <w:u w:val="none"/>
          </w:rPr>
          <w:t>https://www.esma.europa.eu/about-esma/governance/european-supervisory-framework</w:t>
        </w:r>
      </w:hyperlink>
      <w:r>
        <w:t xml:space="preserve"> (consultatie 18 december 2018).</w:t>
      </w:r>
    </w:p>
  </w:footnote>
  <w:footnote w:id="76">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Zie ook </w:t>
      </w:r>
      <w:r>
        <w:rPr>
          <w:rFonts w:cs="Times New Roman"/>
          <w:szCs w:val="16"/>
        </w:rPr>
        <w:t>V. COLAERT, “Productinterventie”</w:t>
      </w:r>
      <w:r w:rsidRPr="00FD7ADA">
        <w:rPr>
          <w:rFonts w:cs="Times New Roman"/>
          <w:szCs w:val="16"/>
        </w:rPr>
        <w:t xml:space="preserve"> </w:t>
      </w:r>
      <w:r>
        <w:rPr>
          <w:rFonts w:cs="Times New Roman"/>
          <w:szCs w:val="16"/>
        </w:rPr>
        <w:t>(</w:t>
      </w:r>
      <w:r w:rsidRPr="00FD7ADA">
        <w:rPr>
          <w:rFonts w:cs="Times New Roman"/>
          <w:szCs w:val="16"/>
        </w:rPr>
        <w:t>403</w:t>
      </w:r>
      <w:r>
        <w:rPr>
          <w:rFonts w:cs="Times New Roman"/>
          <w:szCs w:val="16"/>
        </w:rPr>
        <w:t>) 410</w:t>
      </w:r>
      <w:r w:rsidRPr="008D3595">
        <w:rPr>
          <w:rFonts w:cs="Times New Roman"/>
          <w:szCs w:val="16"/>
        </w:rPr>
        <w:t>, nr. 37.</w:t>
      </w:r>
    </w:p>
  </w:footnote>
  <w:footnote w:id="77">
    <w:p w:rsidR="00F84C16" w:rsidRPr="00A378EE" w:rsidRDefault="00F84C16" w:rsidP="00F84C16">
      <w:pPr>
        <w:pStyle w:val="Voetnoottekst"/>
        <w:spacing w:line="276" w:lineRule="auto"/>
        <w:rPr>
          <w:lang w:val="en-US"/>
        </w:rPr>
      </w:pPr>
      <w:r>
        <w:rPr>
          <w:rStyle w:val="Voetnootmarkering"/>
        </w:rPr>
        <w:footnoteRef/>
      </w:r>
      <w:r w:rsidRPr="00A378EE">
        <w:rPr>
          <w:lang w:val="en-US"/>
        </w:rPr>
        <w:t xml:space="preserve"> </w:t>
      </w:r>
      <w:r>
        <w:rPr>
          <w:lang w:val="en-US"/>
        </w:rPr>
        <w:t>Art. 42 MiFIR en art. 17 PRIIPS.</w:t>
      </w:r>
    </w:p>
  </w:footnote>
  <w:footnote w:id="78">
    <w:p w:rsidR="00F84C16" w:rsidRPr="002F6758" w:rsidRDefault="00F84C16" w:rsidP="00F84C16">
      <w:pPr>
        <w:pStyle w:val="Voetnoottekst"/>
        <w:spacing w:before="0" w:line="276" w:lineRule="auto"/>
        <w:rPr>
          <w:szCs w:val="16"/>
          <w:lang w:val="en-US"/>
        </w:rPr>
      </w:pPr>
      <w:r w:rsidRPr="002F6758">
        <w:rPr>
          <w:rStyle w:val="Voetnootmarkering"/>
          <w:szCs w:val="16"/>
        </w:rPr>
        <w:footnoteRef/>
      </w:r>
      <w:r w:rsidRPr="002F6758">
        <w:rPr>
          <w:szCs w:val="16"/>
          <w:lang w:val="en-US"/>
        </w:rPr>
        <w:t xml:space="preserve"> </w:t>
      </w:r>
      <w:r w:rsidR="00280B8B">
        <w:rPr>
          <w:rFonts w:cs="Times New Roman"/>
          <w:szCs w:val="16"/>
          <w:lang w:val="en-US"/>
        </w:rPr>
        <w:t>EUROPEAN SECURITIES AND MARKETS AUTHORITY (</w:t>
      </w:r>
      <w:r w:rsidR="00280B8B" w:rsidRPr="007929EF">
        <w:rPr>
          <w:rFonts w:cs="Times New Roman"/>
          <w:szCs w:val="16"/>
          <w:lang w:val="en-US"/>
        </w:rPr>
        <w:t>ESMA</w:t>
      </w:r>
      <w:r w:rsidR="00280B8B">
        <w:rPr>
          <w:rFonts w:cs="Times New Roman"/>
          <w:szCs w:val="16"/>
          <w:lang w:val="en-US"/>
        </w:rPr>
        <w:t>)</w:t>
      </w:r>
      <w:r w:rsidRPr="002F6758">
        <w:rPr>
          <w:szCs w:val="16"/>
          <w:lang w:val="en-US"/>
        </w:rPr>
        <w:t xml:space="preserve">, </w:t>
      </w:r>
      <w:r w:rsidRPr="007929EF">
        <w:rPr>
          <w:i/>
          <w:szCs w:val="16"/>
          <w:lang w:val="en-US"/>
        </w:rPr>
        <w:t>Product Intervention Analysis: Measures on Contracts for Differences</w:t>
      </w:r>
      <w:r w:rsidRPr="002F6758">
        <w:rPr>
          <w:szCs w:val="16"/>
          <w:lang w:val="en-US"/>
        </w:rPr>
        <w:t>,</w:t>
      </w:r>
      <w:r w:rsidR="007929EF">
        <w:rPr>
          <w:szCs w:val="16"/>
          <w:lang w:val="en-US"/>
        </w:rPr>
        <w:t xml:space="preserve"> </w:t>
      </w:r>
      <w:r w:rsidR="00727EDA">
        <w:rPr>
          <w:szCs w:val="16"/>
          <w:lang w:val="en-US"/>
        </w:rPr>
        <w:t xml:space="preserve">1 juni 2015, </w:t>
      </w:r>
      <w:r w:rsidR="00727EDA" w:rsidRPr="00727EDA">
        <w:rPr>
          <w:lang w:val="en-US"/>
        </w:rPr>
        <w:t>ESMA50-162-215</w:t>
      </w:r>
      <w:r w:rsidR="00727EDA">
        <w:rPr>
          <w:lang w:val="en-US"/>
        </w:rPr>
        <w:t xml:space="preserve">, </w:t>
      </w:r>
      <w:r w:rsidR="007929EF" w:rsidRPr="007929EF">
        <w:rPr>
          <w:szCs w:val="16"/>
          <w:lang w:val="en-US"/>
        </w:rPr>
        <w:t>https://www.esma.europa.eu/sites/default/files/library/esma50-162-215_product_intervention_analysis_cfds.pdf</w:t>
      </w:r>
      <w:r w:rsidR="007929EF">
        <w:rPr>
          <w:szCs w:val="16"/>
          <w:lang w:val="en-US"/>
        </w:rPr>
        <w:t>,</w:t>
      </w:r>
      <w:r w:rsidRPr="002F6758">
        <w:rPr>
          <w:szCs w:val="16"/>
          <w:lang w:val="en-US"/>
        </w:rPr>
        <w:t xml:space="preserve"> 13</w:t>
      </w:r>
      <w:r>
        <w:rPr>
          <w:szCs w:val="16"/>
          <w:lang w:val="en-US"/>
        </w:rPr>
        <w:t>-14</w:t>
      </w:r>
      <w:r w:rsidRPr="002F6758">
        <w:rPr>
          <w:szCs w:val="16"/>
          <w:lang w:val="en-US"/>
        </w:rPr>
        <w:t>.</w:t>
      </w:r>
    </w:p>
  </w:footnote>
  <w:footnote w:id="79">
    <w:p w:rsidR="00F84C16" w:rsidRPr="00240AAA" w:rsidRDefault="00F84C16" w:rsidP="00F84C16">
      <w:pPr>
        <w:pStyle w:val="Voetnoottekst"/>
        <w:spacing w:before="0" w:line="276" w:lineRule="auto"/>
        <w:rPr>
          <w:lang w:val="en-US"/>
        </w:rPr>
      </w:pPr>
      <w:r w:rsidRPr="00BE260F">
        <w:rPr>
          <w:rStyle w:val="Voetnootmarkering"/>
        </w:rPr>
        <w:footnoteRef/>
      </w:r>
      <w:r>
        <w:rPr>
          <w:lang w:val="en-US"/>
        </w:rPr>
        <w:t xml:space="preserve"> Art. 40, 3, a) en 42, 2</w:t>
      </w:r>
      <w:r w:rsidRPr="00240AAA">
        <w:rPr>
          <w:lang w:val="en-US"/>
        </w:rPr>
        <w:t>, c) MiFIR.</w:t>
      </w:r>
    </w:p>
  </w:footnote>
  <w:footnote w:id="80">
    <w:p w:rsidR="00F84C16" w:rsidRPr="000206C3"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BE260F">
        <w:rPr>
          <w:rFonts w:cs="Times New Roman"/>
          <w:szCs w:val="16"/>
        </w:rPr>
        <w:t xml:space="preserve"> Overw. </w:t>
      </w:r>
      <w:r>
        <w:rPr>
          <w:rFonts w:cs="Times New Roman"/>
          <w:szCs w:val="16"/>
        </w:rPr>
        <w:t>3 MiFIR stelt immers: “</w:t>
      </w:r>
      <w:r w:rsidRPr="00517FE7">
        <w:rPr>
          <w:rFonts w:cs="Times New Roman"/>
          <w:i/>
          <w:szCs w:val="16"/>
        </w:rPr>
        <w:t xml:space="preserve">Aangezien het noodzakelijk is om met betrekking tot bepaalde vereisten één set regels vast te stellen die voor alle instellingen gelden, alsook om potentiële reguleringsarbitrage te voorkomen en marktdeelnemers meer rechtszekerheid en een minder complexe regelgeving te bieden, is het gerechtvaardigd een rechtsgrondslag te gebruiken waarmee in een verordening kan worden voorzien. Om de resterende </w:t>
      </w:r>
      <w:r w:rsidRPr="00745A90">
        <w:rPr>
          <w:rFonts w:cs="Times New Roman"/>
          <w:i/>
          <w:szCs w:val="16"/>
        </w:rPr>
        <w:t>handelsbelemmeringen en significante concurrentieverstoringen die uit de verschillen tussen nationale wetgevingen voortvloeien, weg te nemen</w:t>
      </w:r>
      <w:r w:rsidRPr="00517FE7">
        <w:rPr>
          <w:rFonts w:cs="Times New Roman"/>
          <w:i/>
          <w:szCs w:val="16"/>
        </w:rPr>
        <w:t xml:space="preserve"> en nieuwe handelsbelemmeringen en significante concurrentieverstoringen te voorkomen, is het derhalve noodzakelijk een verordening vast te stellen met uniforme regels die in alle lidstaten van toepassing zijn</w:t>
      </w:r>
      <w:r>
        <w:rPr>
          <w:rFonts w:cs="Times New Roman"/>
          <w:szCs w:val="16"/>
        </w:rPr>
        <w:t>”</w:t>
      </w:r>
      <w:r w:rsidRPr="00517FE7">
        <w:rPr>
          <w:rFonts w:cs="Times New Roman"/>
          <w:szCs w:val="16"/>
        </w:rPr>
        <w:t>.</w:t>
      </w:r>
      <w:r>
        <w:rPr>
          <w:rFonts w:cs="Times New Roman"/>
          <w:szCs w:val="16"/>
        </w:rPr>
        <w:t xml:space="preserve"> MiFIR wil duidelijk de nationale wetgeving vervangen om zo de bestaande verschillen weg te werken. Ook in de</w:t>
      </w:r>
      <w:r w:rsidRPr="000206C3">
        <w:rPr>
          <w:rFonts w:cs="Times New Roman"/>
          <w:szCs w:val="16"/>
        </w:rPr>
        <w:t xml:space="preserve"> werkprogramma</w:t>
      </w:r>
      <w:r>
        <w:rPr>
          <w:rFonts w:cs="Times New Roman"/>
          <w:szCs w:val="16"/>
        </w:rPr>
        <w:t>’</w:t>
      </w:r>
      <w:r w:rsidRPr="000206C3">
        <w:rPr>
          <w:rFonts w:cs="Times New Roman"/>
          <w:szCs w:val="16"/>
        </w:rPr>
        <w:t>s van</w:t>
      </w:r>
      <w:r>
        <w:rPr>
          <w:rFonts w:cs="Times New Roman"/>
          <w:szCs w:val="16"/>
        </w:rPr>
        <w:t xml:space="preserve"> de</w:t>
      </w:r>
      <w:r w:rsidRPr="000206C3">
        <w:rPr>
          <w:rFonts w:cs="Times New Roman"/>
          <w:szCs w:val="16"/>
        </w:rPr>
        <w:t xml:space="preserve"> ESMA werd de convergentie van toezicht (‘</w:t>
      </w:r>
      <w:r w:rsidRPr="000206C3">
        <w:rPr>
          <w:rFonts w:cs="Times New Roman"/>
          <w:i/>
          <w:szCs w:val="16"/>
        </w:rPr>
        <w:t>supervi</w:t>
      </w:r>
      <w:r>
        <w:rPr>
          <w:rFonts w:cs="Times New Roman"/>
          <w:i/>
          <w:szCs w:val="16"/>
        </w:rPr>
        <w:t>so</w:t>
      </w:r>
      <w:r w:rsidRPr="000206C3">
        <w:rPr>
          <w:rFonts w:cs="Times New Roman"/>
          <w:i/>
          <w:szCs w:val="16"/>
        </w:rPr>
        <w:t>ry convergence</w:t>
      </w:r>
      <w:r w:rsidRPr="000206C3">
        <w:rPr>
          <w:rFonts w:cs="Times New Roman"/>
          <w:szCs w:val="16"/>
        </w:rPr>
        <w:t xml:space="preserve">’) </w:t>
      </w:r>
      <w:r>
        <w:rPr>
          <w:rFonts w:cs="Times New Roman"/>
          <w:szCs w:val="16"/>
        </w:rPr>
        <w:t>steeds</w:t>
      </w:r>
      <w:r w:rsidRPr="000206C3">
        <w:rPr>
          <w:rFonts w:cs="Times New Roman"/>
          <w:szCs w:val="16"/>
        </w:rPr>
        <w:t xml:space="preserve"> vooropgesteld, zie b</w:t>
      </w:r>
      <w:r>
        <w:rPr>
          <w:rFonts w:cs="Times New Roman"/>
          <w:szCs w:val="16"/>
        </w:rPr>
        <w:t>ij</w:t>
      </w:r>
      <w:r w:rsidRPr="000206C3">
        <w:rPr>
          <w:rFonts w:cs="Times New Roman"/>
          <w:szCs w:val="16"/>
        </w:rPr>
        <w:t>v</w:t>
      </w:r>
      <w:r>
        <w:rPr>
          <w:rFonts w:cs="Times New Roman"/>
          <w:szCs w:val="16"/>
        </w:rPr>
        <w:t>oorbeeld</w:t>
      </w:r>
      <w:r w:rsidRPr="000206C3">
        <w:rPr>
          <w:rFonts w:cs="Times New Roman"/>
          <w:szCs w:val="16"/>
        </w:rPr>
        <w:t xml:space="preserve"> </w:t>
      </w:r>
      <w:r w:rsidR="00280B8B" w:rsidRPr="00280B8B">
        <w:rPr>
          <w:rFonts w:cs="Times New Roman"/>
          <w:szCs w:val="16"/>
        </w:rPr>
        <w:t>EUROPEAN SECURITIES AND MARKETS AUTHORITY (ESMA)</w:t>
      </w:r>
      <w:r w:rsidRPr="000206C3">
        <w:rPr>
          <w:rFonts w:cs="Times New Roman"/>
          <w:szCs w:val="16"/>
        </w:rPr>
        <w:t xml:space="preserve">, </w:t>
      </w:r>
      <w:r w:rsidRPr="000206C3">
        <w:rPr>
          <w:rFonts w:cs="Times New Roman"/>
          <w:i/>
          <w:szCs w:val="16"/>
        </w:rPr>
        <w:t>2018 Work Programme</w:t>
      </w:r>
      <w:r w:rsidRPr="000206C3">
        <w:rPr>
          <w:rFonts w:cs="Times New Roman"/>
          <w:szCs w:val="16"/>
        </w:rPr>
        <w:t>, 29 september 2017, https://www.esma.europa.eu/system/files_force/library/esma20-95-619_2018_work_programme.pdf, 9.</w:t>
      </w:r>
    </w:p>
  </w:footnote>
  <w:footnote w:id="81">
    <w:p w:rsidR="00F84C16" w:rsidRDefault="00F84C16" w:rsidP="00F84C16">
      <w:pPr>
        <w:pStyle w:val="Voetnoottekst"/>
        <w:spacing w:line="276" w:lineRule="auto"/>
      </w:pPr>
      <w:r>
        <w:rPr>
          <w:rStyle w:val="Voetnootmarkering"/>
        </w:rPr>
        <w:footnoteRef/>
      </w:r>
      <w:r>
        <w:t xml:space="preserve"> Art. 9, 5. Verord.EP en Raad nr. 1095/2010, 24 november 2010 tot oprichting van een Europese toezichthoudende autoriteit </w:t>
      </w:r>
      <w:r w:rsidRPr="00E75C9A">
        <w:t>(Europese Autoriteit voor effecten en markten), tot wijziging van Besluit nr. 716/2009/EG en tot intrekking van Besluit 2009/77/EG van de Commissie</w:t>
      </w:r>
      <w:r>
        <w:t xml:space="preserve">, </w:t>
      </w:r>
      <w:r w:rsidRPr="00E75C9A">
        <w:rPr>
          <w:i/>
        </w:rPr>
        <w:t>Pb.L.</w:t>
      </w:r>
      <w:r>
        <w:t xml:space="preserve"> 15 december 2010, afl. 331, 84</w:t>
      </w:r>
      <w:r w:rsidR="003F1FF4">
        <w:t xml:space="preserve"> (hierna: Organieke ESMA-verordening)</w:t>
      </w:r>
      <w:r>
        <w:t>.</w:t>
      </w:r>
    </w:p>
  </w:footnote>
  <w:footnote w:id="82">
    <w:p w:rsidR="00F84C16" w:rsidRDefault="00F84C16" w:rsidP="00F84C16">
      <w:pPr>
        <w:pStyle w:val="Voetnoottekst"/>
        <w:spacing w:before="0" w:line="276" w:lineRule="auto"/>
      </w:pPr>
      <w:r w:rsidRPr="00E27FE0">
        <w:rPr>
          <w:rStyle w:val="Voetnootmarkering"/>
        </w:rPr>
        <w:footnoteRef/>
      </w:r>
      <w:r w:rsidRPr="00E27FE0">
        <w:t xml:space="preserve"> Overw. 11 </w:t>
      </w:r>
      <w:r w:rsidR="003F1FF4">
        <w:t>Organieke ESMA-verordening</w:t>
      </w:r>
      <w:r>
        <w:t>.</w:t>
      </w:r>
    </w:p>
  </w:footnote>
  <w:footnote w:id="83">
    <w:p w:rsidR="00F84C16" w:rsidRDefault="00F84C16" w:rsidP="00C368B8">
      <w:pPr>
        <w:pStyle w:val="Voetnoottekst"/>
        <w:spacing w:before="0" w:line="276" w:lineRule="auto"/>
      </w:pPr>
      <w:r w:rsidRPr="00F53385">
        <w:rPr>
          <w:rStyle w:val="Voetnootmarkering"/>
        </w:rPr>
        <w:footnoteRef/>
      </w:r>
      <w:r w:rsidRPr="00F53385">
        <w:t xml:space="preserve"> </w:t>
      </w:r>
      <w:r w:rsidR="00C368B8">
        <w:t>Zie overw. 144 CFD-besluit: “</w:t>
      </w:r>
      <w:r w:rsidR="00C368B8" w:rsidRPr="00C368B8">
        <w:rPr>
          <w:i/>
        </w:rPr>
        <w:t>Bij dit besluit worden gemeenschappelijke vereisten vastgesteld waarmee wordt beoogd een noodzakelijk minimumbeschermingsniveau te bieden voor retailcliënten in de hele Unie, als aanvulling op bestaande vereisten. Met dit besluit wordt niet beoogd nationale bevoegde autoriteiten of aanbieders van CFD's ervan te weerhouden beleggers een nog hoger beschermingsniveau te bieden, bijvoorbeeld door de eisen voor de initiële marge aan te scherpen.</w:t>
      </w:r>
      <w:r w:rsidR="00C368B8">
        <w:t>”</w:t>
      </w:r>
    </w:p>
  </w:footnote>
  <w:footnote w:id="84">
    <w:p w:rsidR="00F84C16" w:rsidRPr="002E7108" w:rsidRDefault="00F84C16" w:rsidP="00F84C16">
      <w:pPr>
        <w:pStyle w:val="Voetnoottekst"/>
        <w:spacing w:before="0" w:line="276" w:lineRule="auto"/>
        <w:rPr>
          <w:szCs w:val="16"/>
        </w:rPr>
      </w:pPr>
      <w:r w:rsidRPr="002E7108">
        <w:rPr>
          <w:rStyle w:val="Voetnootmarkering"/>
          <w:szCs w:val="16"/>
        </w:rPr>
        <w:footnoteRef/>
      </w:r>
      <w:r w:rsidRPr="002E7108">
        <w:rPr>
          <w:szCs w:val="16"/>
        </w:rPr>
        <w:t xml:space="preserve"> </w:t>
      </w:r>
      <w:r w:rsidRPr="002E7108">
        <w:rPr>
          <w:i/>
          <w:szCs w:val="16"/>
        </w:rPr>
        <w:t>Supra</w:t>
      </w:r>
      <w:r w:rsidRPr="002E7108">
        <w:rPr>
          <w:szCs w:val="16"/>
        </w:rPr>
        <w:t xml:space="preserve"> </w:t>
      </w:r>
      <w:r w:rsidRPr="002E7108">
        <w:rPr>
          <w:szCs w:val="16"/>
        </w:rPr>
        <w:fldChar w:fldCharType="begin"/>
      </w:r>
      <w:r w:rsidRPr="002E7108">
        <w:rPr>
          <w:szCs w:val="16"/>
        </w:rPr>
        <w:instrText xml:space="preserve"> PAGEREF _Ref531685540 \h </w:instrText>
      </w:r>
      <w:r w:rsidRPr="002E7108">
        <w:rPr>
          <w:szCs w:val="16"/>
        </w:rPr>
      </w:r>
      <w:r w:rsidRPr="002E7108">
        <w:rPr>
          <w:szCs w:val="16"/>
        </w:rPr>
        <w:fldChar w:fldCharType="separate"/>
      </w:r>
      <w:r w:rsidRPr="002E7108">
        <w:rPr>
          <w:noProof/>
          <w:szCs w:val="16"/>
        </w:rPr>
        <w:t>10</w:t>
      </w:r>
      <w:r w:rsidRPr="002E7108">
        <w:rPr>
          <w:szCs w:val="16"/>
        </w:rPr>
        <w:fldChar w:fldCharType="end"/>
      </w:r>
      <w:r w:rsidRPr="002E7108">
        <w:rPr>
          <w:szCs w:val="16"/>
        </w:rPr>
        <w:t xml:space="preserve">, vn. </w:t>
      </w:r>
      <w:r w:rsidRPr="002E7108">
        <w:rPr>
          <w:szCs w:val="16"/>
        </w:rPr>
        <w:fldChar w:fldCharType="begin"/>
      </w:r>
      <w:r w:rsidRPr="002E7108">
        <w:rPr>
          <w:szCs w:val="16"/>
        </w:rPr>
        <w:instrText xml:space="preserve"> NOTEREF _Ref531685518 \h  \* MERGEFORMAT </w:instrText>
      </w:r>
      <w:r w:rsidRPr="002E7108">
        <w:rPr>
          <w:szCs w:val="16"/>
        </w:rPr>
      </w:r>
      <w:r w:rsidRPr="002E7108">
        <w:rPr>
          <w:szCs w:val="16"/>
        </w:rPr>
        <w:fldChar w:fldCharType="separate"/>
      </w:r>
      <w:r w:rsidR="00882805">
        <w:rPr>
          <w:szCs w:val="16"/>
        </w:rPr>
        <w:t>70</w:t>
      </w:r>
      <w:r w:rsidRPr="002E7108">
        <w:rPr>
          <w:szCs w:val="16"/>
        </w:rPr>
        <w:fldChar w:fldCharType="end"/>
      </w:r>
      <w:r w:rsidRPr="002E7108">
        <w:rPr>
          <w:szCs w:val="16"/>
        </w:rPr>
        <w:t>.</w:t>
      </w:r>
    </w:p>
  </w:footnote>
  <w:footnote w:id="85">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t>
      </w:r>
      <w:r>
        <w:rPr>
          <w:rFonts w:cs="Times New Roman"/>
          <w:szCs w:val="16"/>
        </w:rPr>
        <w:t>Artt.</w:t>
      </w:r>
      <w:r w:rsidRPr="005F1826">
        <w:rPr>
          <w:rFonts w:cs="Times New Roman"/>
          <w:szCs w:val="16"/>
        </w:rPr>
        <w:t xml:space="preserve"> </w:t>
      </w:r>
      <w:r>
        <w:rPr>
          <w:rFonts w:cs="Times New Roman"/>
          <w:szCs w:val="16"/>
        </w:rPr>
        <w:t>40, 7 en 41, 7</w:t>
      </w:r>
      <w:r w:rsidRPr="005F1826">
        <w:rPr>
          <w:rFonts w:cs="Times New Roman"/>
          <w:szCs w:val="16"/>
        </w:rPr>
        <w:t xml:space="preserve"> MiFIR en</w:t>
      </w:r>
      <w:r>
        <w:rPr>
          <w:rFonts w:cs="Times New Roman"/>
          <w:szCs w:val="16"/>
        </w:rPr>
        <w:t xml:space="preserve"> art.</w:t>
      </w:r>
      <w:r w:rsidRPr="005F1826">
        <w:rPr>
          <w:rFonts w:cs="Times New Roman"/>
          <w:szCs w:val="16"/>
        </w:rPr>
        <w:t xml:space="preserve"> 16, 7 PRIIPS</w:t>
      </w:r>
      <w:r>
        <w:rPr>
          <w:rFonts w:cs="Times New Roman"/>
          <w:szCs w:val="16"/>
        </w:rPr>
        <w:t>.</w:t>
      </w:r>
    </w:p>
  </w:footnote>
  <w:footnote w:id="86">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Wetsontwerp tot wijziging van de wet van 2 augustus 2002 betreffende het toezicht op de financiële sector en de financiële diensten en van de wet van 22 februari 1998 tot vaststelling van het organiek statuut van de Nationale Bank van België, en houdende diverse bepalingen, </w:t>
      </w:r>
      <w:r w:rsidRPr="008D3595">
        <w:rPr>
          <w:rFonts w:cs="Times New Roman"/>
          <w:i/>
          <w:szCs w:val="16"/>
        </w:rPr>
        <w:t>Parl.St.</w:t>
      </w:r>
      <w:r w:rsidRPr="008D3595">
        <w:rPr>
          <w:rFonts w:cs="Times New Roman"/>
          <w:szCs w:val="16"/>
        </w:rPr>
        <w:t xml:space="preserve"> Kamer 2009-10, nr. 52-24087/1, 13.</w:t>
      </w:r>
    </w:p>
  </w:footnote>
  <w:footnote w:id="87">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Wetsontwerp </w:t>
      </w:r>
      <w:r w:rsidRPr="008D3595">
        <w:rPr>
          <w:rFonts w:cs="Times New Roman"/>
          <w:bCs/>
          <w:szCs w:val="16"/>
        </w:rPr>
        <w:t>tot versterking van de bescherming van de afnemers van financiële producten en diensten alsook van de bevoegdheden van de Autoriteit voor Financiële Diensten en Markten en houdende diverse bepalingen (I),</w:t>
      </w:r>
      <w:r w:rsidRPr="008D3595">
        <w:rPr>
          <w:rFonts w:cs="Times New Roman"/>
          <w:szCs w:val="16"/>
        </w:rPr>
        <w:t xml:space="preserve"> </w:t>
      </w:r>
      <w:r w:rsidRPr="008D3595">
        <w:rPr>
          <w:rFonts w:cs="Times New Roman"/>
          <w:i/>
          <w:szCs w:val="16"/>
        </w:rPr>
        <w:t>Parl.St.</w:t>
      </w:r>
      <w:r w:rsidRPr="008D3595">
        <w:rPr>
          <w:rFonts w:cs="Times New Roman"/>
          <w:szCs w:val="16"/>
        </w:rPr>
        <w:t xml:space="preserve"> Kamer 2012-13, nr. 53-2872/1, 29.</w:t>
      </w:r>
    </w:p>
  </w:footnote>
  <w:footnote w:id="88">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Pr>
          <w:rFonts w:cs="Times New Roman"/>
          <w:szCs w:val="16"/>
        </w:rPr>
        <w:t xml:space="preserve"> Richtl.EP en Raad</w:t>
      </w:r>
      <w:r w:rsidRPr="008D3595">
        <w:rPr>
          <w:rFonts w:cs="Times New Roman"/>
          <w:szCs w:val="16"/>
        </w:rPr>
        <w:t xml:space="preserve"> </w:t>
      </w:r>
      <w:r>
        <w:rPr>
          <w:rFonts w:cs="Times New Roman"/>
          <w:szCs w:val="16"/>
        </w:rPr>
        <w:t>nr. 2009/65/EU,</w:t>
      </w:r>
      <w:r w:rsidRPr="008D3595">
        <w:rPr>
          <w:rFonts w:cs="Times New Roman"/>
          <w:szCs w:val="16"/>
        </w:rPr>
        <w:t xml:space="preserve"> 13 juli 2009</w:t>
      </w:r>
      <w:r>
        <w:rPr>
          <w:rFonts w:cs="Times New Roman"/>
          <w:szCs w:val="16"/>
        </w:rPr>
        <w:t xml:space="preserve"> </w:t>
      </w:r>
      <w:r w:rsidRPr="00A1122B">
        <w:rPr>
          <w:rFonts w:cs="Times New Roman"/>
          <w:szCs w:val="16"/>
        </w:rPr>
        <w:t>tot coördinatie van de wettelijke en bestuursrechtelijke bepalingen betreffende bepaalde instellingen</w:t>
      </w:r>
      <w:r>
        <w:rPr>
          <w:rFonts w:cs="Times New Roman"/>
          <w:szCs w:val="16"/>
        </w:rPr>
        <w:t xml:space="preserve"> </w:t>
      </w:r>
      <w:r w:rsidRPr="00A1122B">
        <w:rPr>
          <w:rFonts w:cs="Times New Roman"/>
          <w:szCs w:val="16"/>
        </w:rPr>
        <w:t>voor collectieve belegging in effecten (icbe’s)</w:t>
      </w:r>
      <w:r w:rsidRPr="008D3595">
        <w:rPr>
          <w:rFonts w:cs="Times New Roman"/>
          <w:szCs w:val="16"/>
        </w:rPr>
        <w:t xml:space="preserve">, </w:t>
      </w:r>
      <w:r w:rsidRPr="008D3595">
        <w:rPr>
          <w:rFonts w:cs="Times New Roman"/>
          <w:i/>
          <w:szCs w:val="16"/>
        </w:rPr>
        <w:t>Pb.L.</w:t>
      </w:r>
      <w:r w:rsidRPr="008D3595">
        <w:rPr>
          <w:rFonts w:cs="Times New Roman"/>
          <w:szCs w:val="16"/>
        </w:rPr>
        <w:t xml:space="preserve"> 17 november 2009</w:t>
      </w:r>
      <w:r>
        <w:rPr>
          <w:rFonts w:cs="Times New Roman"/>
          <w:szCs w:val="16"/>
        </w:rPr>
        <w:t>, afl. 302, 32</w:t>
      </w:r>
      <w:r w:rsidRPr="008D3595">
        <w:rPr>
          <w:rFonts w:cs="Times New Roman"/>
          <w:szCs w:val="16"/>
        </w:rPr>
        <w:t>.</w:t>
      </w:r>
    </w:p>
  </w:footnote>
  <w:footnote w:id="89">
    <w:p w:rsidR="00F84C16" w:rsidRPr="008D3595" w:rsidRDefault="00F84C16" w:rsidP="00F84C16">
      <w:pPr>
        <w:pStyle w:val="Voetnoottekst"/>
        <w:spacing w:before="0" w:line="276" w:lineRule="auto"/>
      </w:pPr>
      <w:r w:rsidRPr="00A1122B">
        <w:rPr>
          <w:rStyle w:val="Voetnootmarkering"/>
          <w:rFonts w:cs="Times New Roman"/>
        </w:rPr>
        <w:footnoteRef/>
      </w:r>
      <w:r w:rsidRPr="00A1122B">
        <w:t xml:space="preserve"> Richtl.EP en Raad nr. 2010/73/EU, 24 november 2010 tot wijziging van Richtlijn 2003/71/EG betreffende het prospectus dat gepubliceerd moet worden wanneer effecten aan het publiek worden aangeboden of tot de handel worden toegelaten en Richtlijn 2004/109/EG betreffende de transparantievereisten die gelden voor informatie over uitgevende instellingen waarvan effecten tot de handel op een gereglementeerde markt zijn toegelaten, </w:t>
      </w:r>
      <w:r w:rsidRPr="00A1122B">
        <w:rPr>
          <w:i/>
        </w:rPr>
        <w:t>Pb.L.</w:t>
      </w:r>
      <w:r w:rsidRPr="00A1122B">
        <w:t xml:space="preserve"> 11 december 2010</w:t>
      </w:r>
      <w:r>
        <w:t xml:space="preserve">, afl. </w:t>
      </w:r>
      <w:r w:rsidRPr="00A1122B">
        <w:t>327</w:t>
      </w:r>
      <w:r>
        <w:t>, 1.</w:t>
      </w:r>
    </w:p>
  </w:footnote>
  <w:footnote w:id="90">
    <w:p w:rsidR="00F84C16" w:rsidRDefault="00F84C16" w:rsidP="00F84C16">
      <w:pPr>
        <w:pStyle w:val="Voetnoottekst"/>
        <w:spacing w:line="276" w:lineRule="auto"/>
      </w:pPr>
      <w:r>
        <w:rPr>
          <w:rStyle w:val="Voetnootmarkering"/>
        </w:rPr>
        <w:footnoteRef/>
      </w:r>
      <w:r>
        <w:t xml:space="preserve"> Artt. 5 e.v. PRIIPS.</w:t>
      </w:r>
    </w:p>
  </w:footnote>
  <w:footnote w:id="91">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t>
      </w:r>
      <w:r>
        <w:rPr>
          <w:rFonts w:cs="Times New Roman"/>
          <w:szCs w:val="16"/>
        </w:rPr>
        <w:t>M. TISON, “</w:t>
      </w:r>
      <w:r w:rsidRPr="00FD46D0">
        <w:rPr>
          <w:rFonts w:cs="Times New Roman"/>
          <w:szCs w:val="16"/>
        </w:rPr>
        <w:t>De intrusieve toezichthouder en het informatieparadigma: Beschouwingen bij de regulering van financiële</w:t>
      </w:r>
      <w:r>
        <w:rPr>
          <w:rFonts w:cs="Times New Roman"/>
          <w:szCs w:val="16"/>
        </w:rPr>
        <w:t xml:space="preserve"> productinterventie” in E. WYMEERSCH, R. HOUBEN en E. DIRIX (eds.), </w:t>
      </w:r>
      <w:r w:rsidRPr="00FD46D0">
        <w:rPr>
          <w:rFonts w:cs="Times New Roman"/>
          <w:i/>
          <w:szCs w:val="16"/>
        </w:rPr>
        <w:t>In het vennootschapsbelang</w:t>
      </w:r>
      <w:r>
        <w:rPr>
          <w:rFonts w:cs="Times New Roman"/>
          <w:szCs w:val="16"/>
        </w:rPr>
        <w:t>, Antwerpen, Intersentia, 2017, (473) 479-481.</w:t>
      </w:r>
    </w:p>
  </w:footnote>
  <w:footnote w:id="92">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KB 25 april 2014 betreffende bepaalde informatieverplichtingen bij de commercialisering van financiële producten bij niet-professionele cliënten, </w:t>
      </w:r>
      <w:r w:rsidRPr="008D3595">
        <w:rPr>
          <w:rFonts w:cs="Times New Roman"/>
          <w:i/>
          <w:szCs w:val="16"/>
        </w:rPr>
        <w:t>BS</w:t>
      </w:r>
      <w:r w:rsidRPr="008D3595">
        <w:rPr>
          <w:rFonts w:cs="Times New Roman"/>
          <w:szCs w:val="16"/>
        </w:rPr>
        <w:t xml:space="preserve"> 12 juni 2014, 44.471 (hierna: </w:t>
      </w:r>
      <w:r>
        <w:rPr>
          <w:rFonts w:cs="Times New Roman"/>
          <w:szCs w:val="16"/>
        </w:rPr>
        <w:t>T</w:t>
      </w:r>
      <w:r w:rsidRPr="008D3595">
        <w:rPr>
          <w:rFonts w:cs="Times New Roman"/>
          <w:szCs w:val="16"/>
        </w:rPr>
        <w:t>ransversaal KB).</w:t>
      </w:r>
    </w:p>
  </w:footnote>
  <w:footnote w:id="93">
    <w:p w:rsidR="00F84C16" w:rsidRDefault="00F84C16" w:rsidP="00F84C16">
      <w:pPr>
        <w:pStyle w:val="Voetnoottekst"/>
        <w:spacing w:line="276" w:lineRule="auto"/>
      </w:pPr>
      <w:r>
        <w:rPr>
          <w:rStyle w:val="Voetnootmarkering"/>
        </w:rPr>
        <w:footnoteRef/>
      </w:r>
      <w:r>
        <w:t xml:space="preserve"> Voor een nauwkeurige bespreking, zie </w:t>
      </w:r>
      <w:r w:rsidRPr="00BF6768">
        <w:t>G.</w:t>
      </w:r>
      <w:r>
        <w:t xml:space="preserve"> SCHAEKEN</w:t>
      </w:r>
      <w:r w:rsidRPr="00BF6768">
        <w:t xml:space="preserve">, “Cliënt protection under Belgian financial law: recent developments in information duties, product intervention and beyond”, </w:t>
      </w:r>
      <w:r w:rsidRPr="00BF6768">
        <w:rPr>
          <w:i/>
        </w:rPr>
        <w:t>RISF</w:t>
      </w:r>
      <w:r w:rsidRPr="00BF6768">
        <w:t xml:space="preserve"> 2014, afl. 4, </w:t>
      </w:r>
      <w:r>
        <w:t>(</w:t>
      </w:r>
      <w:r w:rsidRPr="00BF6768">
        <w:t>58</w:t>
      </w:r>
      <w:r>
        <w:t>) 64-67</w:t>
      </w:r>
      <w:r w:rsidRPr="00BF6768">
        <w:t>.</w:t>
      </w:r>
    </w:p>
  </w:footnote>
  <w:footnote w:id="94">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Verslag aan de Koning bij het </w:t>
      </w:r>
      <w:r>
        <w:rPr>
          <w:rFonts w:cs="Times New Roman"/>
          <w:szCs w:val="16"/>
        </w:rPr>
        <w:t>Transversaal KB.</w:t>
      </w:r>
    </w:p>
  </w:footnote>
  <w:footnote w:id="95">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KB 25 april 2014 tot goedkeuring van het reglement van de Autoriteit voor Financiële Diensten en Markten betreffende de technische vereisten van het risicolabel, </w:t>
      </w:r>
      <w:r w:rsidRPr="00710669">
        <w:rPr>
          <w:rFonts w:cs="Times New Roman"/>
          <w:i/>
          <w:szCs w:val="16"/>
        </w:rPr>
        <w:t>BS</w:t>
      </w:r>
      <w:r w:rsidRPr="008D3595">
        <w:rPr>
          <w:rFonts w:cs="Times New Roman"/>
          <w:szCs w:val="16"/>
        </w:rPr>
        <w:t xml:space="preserve"> 12 juni 2014, 44.567.</w:t>
      </w:r>
    </w:p>
  </w:footnote>
  <w:footnote w:id="96">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t>
      </w:r>
      <w:r>
        <w:rPr>
          <w:rFonts w:cs="Times New Roman"/>
          <w:szCs w:val="16"/>
        </w:rPr>
        <w:t xml:space="preserve">Toelichtende nota gevoegd bij het reglement van de Autoriteit voor Financiële Diensten en Markten betreffende de technische vereisten van het risicolabel, </w:t>
      </w:r>
      <w:r w:rsidRPr="00517FE7">
        <w:rPr>
          <w:rFonts w:cs="Times New Roman"/>
          <w:i/>
          <w:szCs w:val="16"/>
        </w:rPr>
        <w:t>BS</w:t>
      </w:r>
      <w:r>
        <w:rPr>
          <w:rFonts w:cs="Times New Roman"/>
          <w:szCs w:val="16"/>
        </w:rPr>
        <w:t xml:space="preserve"> 12 juni 2014, 44.574.</w:t>
      </w:r>
      <w:r w:rsidRPr="008D3595">
        <w:rPr>
          <w:rFonts w:cs="Times New Roman"/>
          <w:szCs w:val="16"/>
        </w:rPr>
        <w:t xml:space="preserve"> </w:t>
      </w:r>
    </w:p>
  </w:footnote>
  <w:footnote w:id="97">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Pr>
          <w:rFonts w:cs="Times New Roman"/>
          <w:szCs w:val="16"/>
        </w:rPr>
        <w:t xml:space="preserve"> Art.</w:t>
      </w:r>
      <w:r w:rsidRPr="008D3595">
        <w:rPr>
          <w:rFonts w:cs="Times New Roman"/>
          <w:szCs w:val="16"/>
        </w:rPr>
        <w:t xml:space="preserve"> 2 KB 25 april 2014 tot goedkeuring van het reglement van de Autoriteit voor Financiële Diensten en Markten betreffende de technische vereisten van het risicolabel, </w:t>
      </w:r>
      <w:r w:rsidRPr="00710669">
        <w:rPr>
          <w:rFonts w:cs="Times New Roman"/>
          <w:i/>
          <w:szCs w:val="16"/>
        </w:rPr>
        <w:t>BS</w:t>
      </w:r>
      <w:r w:rsidRPr="008D3595">
        <w:rPr>
          <w:rFonts w:cs="Times New Roman"/>
          <w:szCs w:val="16"/>
        </w:rPr>
        <w:t xml:space="preserve"> 12 juni 2014, 44.567.</w:t>
      </w:r>
    </w:p>
  </w:footnote>
  <w:footnote w:id="98">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Pr>
          <w:rFonts w:cs="Times New Roman"/>
          <w:szCs w:val="16"/>
        </w:rPr>
        <w:t xml:space="preserve"> Art.</w:t>
      </w:r>
      <w:r w:rsidRPr="008D3595">
        <w:rPr>
          <w:rFonts w:cs="Times New Roman"/>
          <w:szCs w:val="16"/>
        </w:rPr>
        <w:t xml:space="preserve"> 2, 1° Transversaal KB.</w:t>
      </w:r>
    </w:p>
  </w:footnote>
  <w:footnote w:id="99">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Omdat commercialisering een zeer ruim concept is, werden een aant</w:t>
      </w:r>
      <w:r>
        <w:rPr>
          <w:rFonts w:cs="Times New Roman"/>
          <w:szCs w:val="16"/>
        </w:rPr>
        <w:t>al uitzonderingen voorzien</w:t>
      </w:r>
      <w:r w:rsidR="00940220">
        <w:rPr>
          <w:rFonts w:cs="Times New Roman"/>
          <w:szCs w:val="16"/>
        </w:rPr>
        <w:t xml:space="preserve">, zie </w:t>
      </w:r>
      <w:r>
        <w:rPr>
          <w:rFonts w:cs="Times New Roman"/>
          <w:szCs w:val="16"/>
        </w:rPr>
        <w:t>art.</w:t>
      </w:r>
      <w:r w:rsidR="00940220">
        <w:rPr>
          <w:rFonts w:cs="Times New Roman"/>
          <w:szCs w:val="16"/>
        </w:rPr>
        <w:t xml:space="preserve"> 3, §2 Transversaal KB</w:t>
      </w:r>
      <w:r w:rsidRPr="008D3595">
        <w:rPr>
          <w:rFonts w:cs="Times New Roman"/>
          <w:szCs w:val="16"/>
        </w:rPr>
        <w:t>.</w:t>
      </w:r>
    </w:p>
  </w:footnote>
  <w:footnote w:id="100">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t>
      </w:r>
      <w:r>
        <w:rPr>
          <w:rFonts w:cs="Times New Roman"/>
          <w:szCs w:val="16"/>
        </w:rPr>
        <w:t>‘Verpakte retail beleggingsproducten’ zijn beleggingsproducten met een derivatenwerking, zie art. 4, 1 PRIIPS.</w:t>
      </w:r>
    </w:p>
  </w:footnote>
  <w:footnote w:id="101">
    <w:p w:rsidR="00F84C16" w:rsidRDefault="00F84C16" w:rsidP="00F84C16">
      <w:pPr>
        <w:pStyle w:val="Voetnoottekst"/>
        <w:spacing w:before="0" w:line="276" w:lineRule="auto"/>
      </w:pPr>
      <w:r w:rsidRPr="00517FE7">
        <w:rPr>
          <w:rStyle w:val="Voetnootmarkering"/>
        </w:rPr>
        <w:footnoteRef/>
      </w:r>
      <w:r w:rsidRPr="00517FE7">
        <w:t xml:space="preserve"> </w:t>
      </w:r>
      <w:r>
        <w:t>Verzekeringsgebaseerde beleggingsproducten zijn verzekeringsproducten waarmee een waarde op vervaldag of een afkoopwaarde wordt aangeboden, waarbij die waarde op vervaldag of afkoopwaarde geheel of gedeeltelijk is blootgesteld, direct of</w:t>
      </w:r>
      <w:r w:rsidR="00940220">
        <w:t xml:space="preserve"> indirect, aan marktfluctuaties, </w:t>
      </w:r>
      <w:r>
        <w:t xml:space="preserve"> </w:t>
      </w:r>
      <w:r w:rsidR="00940220">
        <w:t>z</w:t>
      </w:r>
      <w:r>
        <w:t>ie art. 4, 2 PRIIPS.</w:t>
      </w:r>
    </w:p>
  </w:footnote>
  <w:footnote w:id="102">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J. CATTARUZZA, “Financiële reglementering - Actualiteit”, </w:t>
      </w:r>
      <w:r w:rsidRPr="008D3595">
        <w:rPr>
          <w:rFonts w:cs="Times New Roman"/>
          <w:i/>
          <w:szCs w:val="16"/>
        </w:rPr>
        <w:t>BFR</w:t>
      </w:r>
      <w:r>
        <w:rPr>
          <w:rFonts w:cs="Times New Roman"/>
          <w:szCs w:val="16"/>
        </w:rPr>
        <w:t xml:space="preserve"> 2017</w:t>
      </w:r>
      <w:r w:rsidRPr="008D3595">
        <w:rPr>
          <w:rFonts w:cs="Times New Roman"/>
          <w:szCs w:val="16"/>
        </w:rPr>
        <w:t>, </w:t>
      </w:r>
      <w:r>
        <w:rPr>
          <w:rFonts w:cs="Times New Roman"/>
          <w:szCs w:val="16"/>
        </w:rPr>
        <w:t xml:space="preserve">(177) </w:t>
      </w:r>
      <w:r w:rsidRPr="008D3595">
        <w:rPr>
          <w:rFonts w:cs="Times New Roman"/>
          <w:szCs w:val="16"/>
        </w:rPr>
        <w:t>182-183.</w:t>
      </w:r>
    </w:p>
  </w:footnote>
  <w:footnote w:id="103">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Verslag aan de Koning bij het Transversaal KB.</w:t>
      </w:r>
    </w:p>
  </w:footnote>
  <w:footnote w:id="104">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Verslag aan de Koning bij het KB 2 juni 2015 tot wijziging van het koninklijk besluit van 25 april 2014 betreffende bepaalde informatieverplichtingen bij de commercialisering van financiële producten bij niet-professionele cliënten, </w:t>
      </w:r>
      <w:r w:rsidRPr="008D3595">
        <w:rPr>
          <w:rFonts w:cs="Times New Roman"/>
          <w:i/>
          <w:szCs w:val="16"/>
        </w:rPr>
        <w:t>BS</w:t>
      </w:r>
      <w:r w:rsidRPr="008D3595">
        <w:rPr>
          <w:rFonts w:cs="Times New Roman"/>
          <w:szCs w:val="16"/>
        </w:rPr>
        <w:t xml:space="preserve"> 10 juni 2015, 33.925.</w:t>
      </w:r>
    </w:p>
  </w:footnote>
  <w:footnote w:id="105">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Deze bepalingen ondergingen no</w:t>
      </w:r>
      <w:r>
        <w:rPr>
          <w:rFonts w:cs="Times New Roman"/>
          <w:szCs w:val="16"/>
        </w:rPr>
        <w:t>g een wijziging met de artt.</w:t>
      </w:r>
      <w:r w:rsidRPr="008D3595">
        <w:rPr>
          <w:rFonts w:cs="Times New Roman"/>
          <w:szCs w:val="16"/>
        </w:rPr>
        <w:t xml:space="preserve"> 41 tot en met 46 KB </w:t>
      </w:r>
      <w:r>
        <w:rPr>
          <w:rFonts w:cs="Times New Roman"/>
          <w:szCs w:val="16"/>
        </w:rPr>
        <w:t xml:space="preserve">23 september 2018 over de publicatie van een informatienota bij een aanbieding aan het publiek of een toelating tot de verhandeling op een MTF en houdende diverse financiële bepalingen, </w:t>
      </w:r>
      <w:r w:rsidRPr="008A738C">
        <w:rPr>
          <w:rFonts w:cs="Times New Roman"/>
          <w:i/>
          <w:szCs w:val="16"/>
        </w:rPr>
        <w:t>BS</w:t>
      </w:r>
      <w:r>
        <w:rPr>
          <w:rFonts w:cs="Times New Roman"/>
          <w:szCs w:val="16"/>
        </w:rPr>
        <w:t xml:space="preserve"> 5 oktober 2018, 75.623.</w:t>
      </w:r>
    </w:p>
  </w:footnote>
  <w:footnote w:id="106">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Verslag aan de Koning bij het KB 25 december 2017 tot verduidelijking van de verplichting tot voorafgaandelijke verstrekking van het essentiële informatiedocument aan de Autoriteit voor financiële diensten en markten en houdende diverse bepalingen, </w:t>
      </w:r>
      <w:r w:rsidRPr="008D3595">
        <w:rPr>
          <w:rFonts w:cs="Times New Roman"/>
          <w:i/>
          <w:szCs w:val="16"/>
        </w:rPr>
        <w:t>BS</w:t>
      </w:r>
      <w:r w:rsidRPr="008D3595">
        <w:rPr>
          <w:rFonts w:cs="Times New Roman"/>
          <w:szCs w:val="16"/>
        </w:rPr>
        <w:t xml:space="preserve"> 29 december 2017, 116.598.</w:t>
      </w:r>
    </w:p>
  </w:footnote>
  <w:footnote w:id="107">
    <w:p w:rsidR="00F84C16" w:rsidRPr="008D3595"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8D3595">
        <w:rPr>
          <w:rFonts w:cs="Times New Roman"/>
          <w:szCs w:val="16"/>
          <w:lang w:val="en-US"/>
        </w:rPr>
        <w:t xml:space="preserve"> Bijlage II CFD-Besluit.</w:t>
      </w:r>
    </w:p>
  </w:footnote>
  <w:footnote w:id="108">
    <w:p w:rsidR="00F84C16" w:rsidRPr="008D3595" w:rsidRDefault="00F84C16" w:rsidP="00F84C16">
      <w:pPr>
        <w:pStyle w:val="Voetnoottekst"/>
        <w:spacing w:before="0" w:line="276" w:lineRule="auto"/>
        <w:rPr>
          <w:rFonts w:cs="Times New Roman"/>
          <w:szCs w:val="16"/>
          <w:lang w:val="en-US"/>
        </w:rPr>
      </w:pPr>
      <w:r w:rsidRPr="008D3595">
        <w:rPr>
          <w:rStyle w:val="Voetnootmarkering"/>
          <w:rFonts w:cs="Times New Roman"/>
          <w:szCs w:val="16"/>
        </w:rPr>
        <w:footnoteRef/>
      </w:r>
      <w:r w:rsidRPr="008D3595">
        <w:rPr>
          <w:rFonts w:cs="Times New Roman"/>
          <w:szCs w:val="16"/>
          <w:lang w:val="en-US"/>
        </w:rPr>
        <w:t xml:space="preserve"> V. COLAERT, “Building blocks of investor protection: All embracing</w:t>
      </w:r>
      <w:r>
        <w:rPr>
          <w:rFonts w:cs="Times New Roman"/>
          <w:szCs w:val="16"/>
          <w:lang w:val="en-US"/>
        </w:rPr>
        <w:t xml:space="preserve"> regulation tightens its grip”,</w:t>
      </w:r>
      <w:r w:rsidRPr="008D3595">
        <w:rPr>
          <w:rFonts w:cs="Times New Roman"/>
          <w:szCs w:val="16"/>
          <w:lang w:val="en-US"/>
        </w:rPr>
        <w:t xml:space="preserve"> </w:t>
      </w:r>
      <w:r w:rsidRPr="008D3595">
        <w:rPr>
          <w:rFonts w:cs="Times New Roman"/>
          <w:i/>
          <w:szCs w:val="16"/>
          <w:lang w:val="en-US"/>
        </w:rPr>
        <w:t>EuCML</w:t>
      </w:r>
      <w:r w:rsidRPr="008D3595">
        <w:rPr>
          <w:rFonts w:cs="Times New Roman"/>
          <w:szCs w:val="16"/>
          <w:lang w:val="en-US"/>
        </w:rPr>
        <w:t xml:space="preserve"> 2017, (</w:t>
      </w:r>
      <w:r>
        <w:rPr>
          <w:rFonts w:cs="Times New Roman"/>
          <w:szCs w:val="16"/>
          <w:lang w:val="en-US"/>
        </w:rPr>
        <w:t>229</w:t>
      </w:r>
      <w:r w:rsidRPr="008D3595">
        <w:rPr>
          <w:rFonts w:cs="Times New Roman"/>
          <w:szCs w:val="16"/>
          <w:lang w:val="en-US"/>
        </w:rPr>
        <w:t xml:space="preserve">) </w:t>
      </w:r>
      <w:r>
        <w:rPr>
          <w:rFonts w:cs="Times New Roman"/>
          <w:szCs w:val="16"/>
          <w:lang w:val="en-US"/>
        </w:rPr>
        <w:t>233</w:t>
      </w:r>
      <w:r w:rsidRPr="008D3595">
        <w:rPr>
          <w:rFonts w:cs="Times New Roman"/>
          <w:szCs w:val="16"/>
          <w:lang w:val="en-US"/>
        </w:rPr>
        <w:t>; A. OEHLER en S. WENDT, “Good Consumer Information: the Informati</w:t>
      </w:r>
      <w:r>
        <w:rPr>
          <w:rFonts w:cs="Times New Roman"/>
          <w:szCs w:val="16"/>
          <w:lang w:val="en-US"/>
        </w:rPr>
        <w:t>on Paradigm at its (Dead) End?,</w:t>
      </w:r>
      <w:r w:rsidRPr="008D3595">
        <w:rPr>
          <w:rFonts w:cs="Times New Roman"/>
          <w:szCs w:val="16"/>
          <w:lang w:val="en-US"/>
        </w:rPr>
        <w:t xml:space="preserve"> </w:t>
      </w:r>
      <w:r w:rsidRPr="008D3595">
        <w:rPr>
          <w:rFonts w:cs="Times New Roman"/>
          <w:i/>
          <w:szCs w:val="16"/>
          <w:lang w:val="en-US"/>
        </w:rPr>
        <w:t>Springer</w:t>
      </w:r>
      <w:r w:rsidRPr="008D3595">
        <w:rPr>
          <w:rFonts w:cs="Times New Roman"/>
          <w:szCs w:val="16"/>
          <w:lang w:val="en-US"/>
        </w:rPr>
        <w:t xml:space="preserve"> 2017, (</w:t>
      </w:r>
      <w:r>
        <w:rPr>
          <w:rFonts w:cs="Times New Roman"/>
          <w:szCs w:val="16"/>
          <w:lang w:val="en-US"/>
        </w:rPr>
        <w:t>179</w:t>
      </w:r>
      <w:r w:rsidRPr="008D3595">
        <w:rPr>
          <w:rFonts w:cs="Times New Roman"/>
          <w:szCs w:val="16"/>
          <w:lang w:val="en-US"/>
        </w:rPr>
        <w:t>) 188.</w:t>
      </w:r>
    </w:p>
  </w:footnote>
  <w:footnote w:id="109">
    <w:p w:rsidR="00F84C16" w:rsidRDefault="00F84C16" w:rsidP="00F84C16">
      <w:pPr>
        <w:pStyle w:val="Voetnoottekst"/>
        <w:spacing w:before="0" w:line="276" w:lineRule="auto"/>
      </w:pPr>
      <w:r w:rsidRPr="00ED25BB">
        <w:rPr>
          <w:rStyle w:val="Voetnootmarkering"/>
        </w:rPr>
        <w:footnoteRef/>
      </w:r>
      <w:r>
        <w:t xml:space="preserve"> Art</w:t>
      </w:r>
      <w:r w:rsidR="007929EF">
        <w:t>t</w:t>
      </w:r>
      <w:r>
        <w:t>. 4, 1</w:t>
      </w:r>
      <w:r w:rsidRPr="00ED25BB">
        <w:t xml:space="preserve"> </w:t>
      </w:r>
      <w:r>
        <w:t>e</w:t>
      </w:r>
      <w:r w:rsidRPr="00ED25BB">
        <w:t xml:space="preserve">n </w:t>
      </w:r>
      <w:r w:rsidR="007929EF">
        <w:t xml:space="preserve">4, </w:t>
      </w:r>
      <w:r w:rsidRPr="00ED25BB">
        <w:t>2 PRIIPS.</w:t>
      </w:r>
    </w:p>
  </w:footnote>
  <w:footnote w:id="110">
    <w:p w:rsidR="00F84C16" w:rsidRDefault="00F84C16" w:rsidP="00F84C16">
      <w:pPr>
        <w:pStyle w:val="Voetnoottekst"/>
        <w:spacing w:before="0" w:line="276" w:lineRule="auto"/>
      </w:pPr>
      <w:r w:rsidRPr="00387268">
        <w:rPr>
          <w:rStyle w:val="Voetnootmarkering"/>
        </w:rPr>
        <w:footnoteRef/>
      </w:r>
      <w:r w:rsidRPr="00387268">
        <w:t xml:space="preserve"> KB 18 juni 2013 waarbij bepaalde informatieverplichtingen worden opgelegd bij de commercialisering van gereglementeerde spaarrekeningen</w:t>
      </w:r>
      <w:r>
        <w:t xml:space="preserve">, </w:t>
      </w:r>
      <w:r w:rsidRPr="00387268">
        <w:rPr>
          <w:i/>
        </w:rPr>
        <w:t>BS</w:t>
      </w:r>
      <w:r>
        <w:t xml:space="preserve"> 8 juli 2013, 42.630.</w:t>
      </w:r>
    </w:p>
  </w:footnote>
  <w:footnote w:id="111">
    <w:p w:rsidR="00F84C16" w:rsidRPr="00710669" w:rsidRDefault="00F84C16" w:rsidP="00F84C16">
      <w:pPr>
        <w:pStyle w:val="Voetnoottekst"/>
        <w:spacing w:before="0" w:line="276" w:lineRule="auto"/>
      </w:pPr>
      <w:r w:rsidRPr="003337B1">
        <w:rPr>
          <w:rStyle w:val="Voetnootmarkering"/>
        </w:rPr>
        <w:footnoteRef/>
      </w:r>
      <w:r w:rsidRPr="00F40B31">
        <w:t xml:space="preserve"> </w:t>
      </w:r>
      <w:r w:rsidRPr="00F40B31">
        <w:rPr>
          <w:i/>
        </w:rPr>
        <w:t>Supra</w:t>
      </w:r>
      <w:r w:rsidRPr="00F40B31">
        <w:t xml:space="preserve"> vn. </w:t>
      </w:r>
      <w:r>
        <w:fldChar w:fldCharType="begin"/>
      </w:r>
      <w:r w:rsidRPr="00F40B31">
        <w:instrText xml:space="preserve"> NOTEREF _Ref531275634 \h </w:instrText>
      </w:r>
      <w:r>
        <w:instrText xml:space="preserve"> \* MERGEFORMAT </w:instrText>
      </w:r>
      <w:r>
        <w:fldChar w:fldCharType="separate"/>
      </w:r>
      <w:r w:rsidR="00882805">
        <w:t>108</w:t>
      </w:r>
      <w:r>
        <w:fldChar w:fldCharType="end"/>
      </w:r>
      <w:r w:rsidRPr="00710669">
        <w:t>.</w:t>
      </w:r>
    </w:p>
  </w:footnote>
  <w:footnote w:id="112">
    <w:p w:rsidR="00F84C16" w:rsidRDefault="00F84C16" w:rsidP="00F84C16">
      <w:pPr>
        <w:pStyle w:val="Voetnoottekst"/>
        <w:spacing w:line="276" w:lineRule="auto"/>
      </w:pPr>
      <w:r>
        <w:rPr>
          <w:rStyle w:val="Voetnootmarkering"/>
        </w:rPr>
        <w:footnoteRef/>
      </w:r>
      <w:r>
        <w:t xml:space="preserve"> Artt. 5 tot en met 12 PRIIPS.</w:t>
      </w:r>
    </w:p>
  </w:footnote>
  <w:footnote w:id="113">
    <w:p w:rsidR="00F84C16" w:rsidRPr="00710669" w:rsidRDefault="00F84C16" w:rsidP="00F84C16">
      <w:pPr>
        <w:pStyle w:val="Voetnoottekst"/>
        <w:spacing w:before="0" w:line="276" w:lineRule="auto"/>
      </w:pPr>
      <w:r w:rsidRPr="00792A0B">
        <w:rPr>
          <w:rStyle w:val="Voetnootmarkering"/>
        </w:rPr>
        <w:footnoteRef/>
      </w:r>
      <w:r w:rsidRPr="00710669">
        <w:t xml:space="preserve"> Overw. 8 PRIIPS.</w:t>
      </w:r>
    </w:p>
  </w:footnote>
  <w:footnote w:id="114">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710669">
        <w:rPr>
          <w:rFonts w:cs="Times New Roman"/>
          <w:szCs w:val="16"/>
        </w:rPr>
        <w:t xml:space="preserve"> Art. 25, 2 </w:t>
      </w:r>
      <w:r>
        <w:rPr>
          <w:rFonts w:cs="Times New Roman"/>
          <w:szCs w:val="16"/>
        </w:rPr>
        <w:t>MiFID II (voordien art. 19.4 en 5 MiFID); art.</w:t>
      </w:r>
      <w:r w:rsidRPr="008D3595">
        <w:rPr>
          <w:rFonts w:cs="Times New Roman"/>
          <w:szCs w:val="16"/>
        </w:rPr>
        <w:t xml:space="preserve"> 27</w:t>
      </w:r>
      <w:r w:rsidRPr="008D3595">
        <w:rPr>
          <w:rFonts w:cs="Times New Roman"/>
          <w:i/>
          <w:szCs w:val="16"/>
        </w:rPr>
        <w:t>ter</w:t>
      </w:r>
      <w:r w:rsidRPr="008D3595">
        <w:rPr>
          <w:rFonts w:cs="Times New Roman"/>
          <w:szCs w:val="16"/>
        </w:rPr>
        <w:t xml:space="preserve"> WFT.</w:t>
      </w:r>
    </w:p>
  </w:footnote>
  <w:footnote w:id="115">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Wetsontwerp </w:t>
      </w:r>
      <w:r w:rsidRPr="008D3595">
        <w:rPr>
          <w:rFonts w:cs="Times New Roman"/>
          <w:bCs/>
          <w:szCs w:val="16"/>
        </w:rPr>
        <w:t>tot versterking van de bescherming van de afnemers van financiële producten en diensten alsook van de bevoegdheden van de Autoriteit voor Financiële Diensten en Markten en houdende diverse bepalingen (I),</w:t>
      </w:r>
      <w:r w:rsidRPr="008D3595">
        <w:rPr>
          <w:rFonts w:cs="Times New Roman"/>
          <w:szCs w:val="16"/>
        </w:rPr>
        <w:t xml:space="preserve"> </w:t>
      </w:r>
      <w:r w:rsidRPr="008D3595">
        <w:rPr>
          <w:rFonts w:cs="Times New Roman"/>
          <w:i/>
          <w:szCs w:val="16"/>
        </w:rPr>
        <w:t>Parl.St.</w:t>
      </w:r>
      <w:r w:rsidRPr="008D3595">
        <w:rPr>
          <w:rFonts w:cs="Times New Roman"/>
          <w:szCs w:val="16"/>
        </w:rPr>
        <w:t xml:space="preserve"> Kamer 2012-13, nr. 53-2872/4, 27.</w:t>
      </w:r>
    </w:p>
  </w:footnote>
  <w:footnote w:id="116">
    <w:p w:rsidR="00F84C16" w:rsidRPr="00F53385" w:rsidRDefault="00F84C16" w:rsidP="00F84C16">
      <w:pPr>
        <w:pStyle w:val="Voetnoottekst"/>
        <w:spacing w:before="0" w:line="276" w:lineRule="auto"/>
        <w:rPr>
          <w:lang w:val="en-US"/>
        </w:rPr>
      </w:pPr>
      <w:r w:rsidRPr="001E1FE1">
        <w:rPr>
          <w:rStyle w:val="Voetnootmarkering"/>
        </w:rPr>
        <w:footnoteRef/>
      </w:r>
      <w:r w:rsidRPr="00F53385">
        <w:rPr>
          <w:lang w:val="en-US"/>
        </w:rPr>
        <w:t xml:space="preserve"> Art. 33 en 87</w:t>
      </w:r>
      <w:r w:rsidRPr="00F53385">
        <w:rPr>
          <w:i/>
          <w:lang w:val="en-US"/>
        </w:rPr>
        <w:t>quinquies</w:t>
      </w:r>
      <w:r w:rsidRPr="00F53385">
        <w:rPr>
          <w:lang w:val="en-US"/>
        </w:rPr>
        <w:t xml:space="preserve"> WFT.</w:t>
      </w:r>
    </w:p>
  </w:footnote>
  <w:footnote w:id="117">
    <w:p w:rsidR="00F84C16" w:rsidRPr="00F53385" w:rsidRDefault="00F84C16" w:rsidP="00F84C16">
      <w:pPr>
        <w:pStyle w:val="Voetnoottekst"/>
        <w:spacing w:before="0" w:line="276" w:lineRule="auto"/>
        <w:rPr>
          <w:lang w:val="en-US"/>
        </w:rPr>
      </w:pPr>
      <w:r w:rsidRPr="001E1FE1">
        <w:rPr>
          <w:rStyle w:val="Voetnootmarkering"/>
        </w:rPr>
        <w:footnoteRef/>
      </w:r>
      <w:r w:rsidRPr="00F53385">
        <w:rPr>
          <w:lang w:val="en-US"/>
        </w:rPr>
        <w:t xml:space="preserve"> </w:t>
      </w:r>
      <w:r w:rsidRPr="00F53385">
        <w:rPr>
          <w:rFonts w:cs="Times New Roman"/>
          <w:lang w:val="en-US"/>
        </w:rPr>
        <w:t>Art. 36 WFT.</w:t>
      </w:r>
    </w:p>
  </w:footnote>
  <w:footnote w:id="118">
    <w:p w:rsidR="00F84C16" w:rsidRPr="00FB0674" w:rsidRDefault="00F84C16" w:rsidP="00F84C16">
      <w:pPr>
        <w:pStyle w:val="Voetnoottekst"/>
        <w:spacing w:before="0" w:line="276" w:lineRule="auto"/>
      </w:pPr>
      <w:r w:rsidRPr="00FB0674">
        <w:rPr>
          <w:rStyle w:val="Voetnootmarkering"/>
          <w:szCs w:val="16"/>
        </w:rPr>
        <w:footnoteRef/>
      </w:r>
      <w:r w:rsidRPr="00FB0674">
        <w:rPr>
          <w:szCs w:val="16"/>
        </w:rPr>
        <w:t xml:space="preserve"> </w:t>
      </w:r>
      <w:r>
        <w:rPr>
          <w:rFonts w:cs="Times New Roman"/>
          <w:szCs w:val="16"/>
        </w:rPr>
        <w:t>R. HOUBEN en D. VANDERSTRAETEN, “De bescherming van de financiële consument”, (21)</w:t>
      </w:r>
      <w:r>
        <w:t xml:space="preserve"> 48, nr. 33.</w:t>
      </w:r>
    </w:p>
  </w:footnote>
  <w:footnote w:id="119">
    <w:p w:rsidR="00F84C16" w:rsidRDefault="00F84C16" w:rsidP="00F84C16">
      <w:pPr>
        <w:pStyle w:val="Voetnoottekst"/>
        <w:spacing w:before="0" w:line="276" w:lineRule="auto"/>
      </w:pPr>
      <w:r w:rsidRPr="00FB0674">
        <w:rPr>
          <w:rStyle w:val="Voetnootmarkering"/>
          <w:szCs w:val="16"/>
        </w:rPr>
        <w:footnoteRef/>
      </w:r>
      <w:r w:rsidRPr="00FB0674">
        <w:rPr>
          <w:szCs w:val="16"/>
        </w:rPr>
        <w:t xml:space="preserve"> </w:t>
      </w:r>
      <w:r>
        <w:rPr>
          <w:szCs w:val="16"/>
        </w:rPr>
        <w:t xml:space="preserve">Art. VI.98, 2° WER; zie ook </w:t>
      </w:r>
      <w:r w:rsidRPr="00FB0674">
        <w:rPr>
          <w:rFonts w:cs="Times New Roman"/>
          <w:szCs w:val="16"/>
        </w:rPr>
        <w:t xml:space="preserve">R. STEENNOT, “De bescherming van de consument door de Autoriteit voor Financiële Diensten en Markten en het vrijwillig moratorium op de commercialisering van bijzonder ingewikkelde gestructureerde producten”, </w:t>
      </w:r>
      <w:r w:rsidRPr="00FB0674">
        <w:rPr>
          <w:rFonts w:cs="Times New Roman"/>
          <w:i/>
          <w:szCs w:val="16"/>
        </w:rPr>
        <w:t>T.Verz.</w:t>
      </w:r>
      <w:r w:rsidRPr="00FB0674">
        <w:rPr>
          <w:rFonts w:cs="Times New Roman"/>
          <w:szCs w:val="16"/>
        </w:rPr>
        <w:t xml:space="preserve"> 2011, (115)</w:t>
      </w:r>
      <w:r>
        <w:rPr>
          <w:rFonts w:cs="Times New Roman"/>
          <w:szCs w:val="16"/>
        </w:rPr>
        <w:t xml:space="preserve"> 142, nr. 52.</w:t>
      </w:r>
    </w:p>
  </w:footnote>
  <w:footnote w:id="120">
    <w:p w:rsidR="00F84C16" w:rsidRPr="008C6252" w:rsidRDefault="00F84C16" w:rsidP="00F84C16">
      <w:pPr>
        <w:pStyle w:val="Voetnoottekst"/>
        <w:spacing w:before="0" w:line="276" w:lineRule="auto"/>
        <w:rPr>
          <w:rFonts w:cs="Times New Roman"/>
          <w:szCs w:val="16"/>
        </w:rPr>
      </w:pPr>
      <w:r w:rsidRPr="008C6252">
        <w:rPr>
          <w:rStyle w:val="Voetnootmarkering"/>
        </w:rPr>
        <w:footnoteRef/>
      </w:r>
      <w:r w:rsidRPr="008C6252">
        <w:t xml:space="preserve"> </w:t>
      </w:r>
      <w:r>
        <w:t xml:space="preserve">De inwerkingtreding en omzetting van MiFID II wijzigde de inhoud daarvan, zie art. 105, §1 wet 21 november 2017 </w:t>
      </w:r>
      <w:r w:rsidRPr="008C6252">
        <w:t>over de infrastructuren voor de markten voor financiële instrumenten en houdende omzetting van Richtlijn 2014/65/EU</w:t>
      </w:r>
      <w:r>
        <w:t xml:space="preserve">, </w:t>
      </w:r>
      <w:r w:rsidRPr="008C6252">
        <w:rPr>
          <w:i/>
        </w:rPr>
        <w:t>BS</w:t>
      </w:r>
      <w:r>
        <w:t xml:space="preserve"> 7 december 2017, 107.933; zie daaromtrent </w:t>
      </w:r>
      <w:r w:rsidRPr="008D3595">
        <w:rPr>
          <w:rFonts w:cs="Times New Roman"/>
          <w:szCs w:val="16"/>
        </w:rPr>
        <w:t>zie V. COLAERT, “MiFID II en de zorgplicht: niets nieuws onder de zon?” in</w:t>
      </w:r>
      <w:r>
        <w:rPr>
          <w:rFonts w:cs="Times New Roman"/>
          <w:szCs w:val="16"/>
        </w:rPr>
        <w:t xml:space="preserve"> I. DE MEULENEERE, V. COLAERT, W. KUPERS en A.S. PIJCKE (eds.),</w:t>
      </w:r>
      <w:r w:rsidRPr="008D3595">
        <w:rPr>
          <w:rFonts w:cs="Times New Roman"/>
          <w:szCs w:val="16"/>
        </w:rPr>
        <w:t xml:space="preserve"> </w:t>
      </w:r>
      <w:r w:rsidRPr="008D3595">
        <w:rPr>
          <w:rFonts w:cs="Times New Roman"/>
          <w:i/>
          <w:szCs w:val="16"/>
        </w:rPr>
        <w:t>MiFID II &amp; MiFIR: capita selecta</w:t>
      </w:r>
      <w:r w:rsidRPr="008D3595">
        <w:rPr>
          <w:rFonts w:cs="Times New Roman"/>
          <w:szCs w:val="16"/>
        </w:rPr>
        <w:t>,</w:t>
      </w:r>
      <w:r>
        <w:rPr>
          <w:rFonts w:cs="Times New Roman"/>
          <w:szCs w:val="16"/>
        </w:rPr>
        <w:t xml:space="preserve"> Louvain-La Neuve, Anthemis, 2018,</w:t>
      </w:r>
      <w:r w:rsidRPr="008D3595">
        <w:rPr>
          <w:rFonts w:cs="Times New Roman"/>
          <w:szCs w:val="16"/>
        </w:rPr>
        <w:t xml:space="preserve"> 99</w:t>
      </w:r>
      <w:r>
        <w:rPr>
          <w:rFonts w:cs="Times New Roman"/>
          <w:szCs w:val="16"/>
        </w:rPr>
        <w:t>-114</w:t>
      </w:r>
      <w:r w:rsidRPr="008D3595">
        <w:rPr>
          <w:rFonts w:cs="Times New Roman"/>
          <w:szCs w:val="16"/>
        </w:rPr>
        <w:t>.</w:t>
      </w:r>
    </w:p>
  </w:footnote>
  <w:footnote w:id="121">
    <w:p w:rsidR="00F84C16" w:rsidRDefault="00F84C16" w:rsidP="00F84C16">
      <w:pPr>
        <w:pStyle w:val="Voetnoottekst"/>
        <w:spacing w:before="0" w:line="276" w:lineRule="auto"/>
      </w:pPr>
      <w:r w:rsidRPr="00163A9C">
        <w:rPr>
          <w:rStyle w:val="Voetnootmarkering"/>
        </w:rPr>
        <w:footnoteRef/>
      </w:r>
      <w:r w:rsidRPr="00163A9C">
        <w:t xml:space="preserve"> </w:t>
      </w:r>
      <w:r>
        <w:t>Zie daaromtrent M. KRUITHOF, “</w:t>
      </w:r>
      <w:r w:rsidRPr="00443798">
        <w:t>Privaatrechtelijke remedies tegen inbreuken op reglementaire gedragsregels inzake beleggingsdiensten: zorgplicht, know your customer en best execution</w:t>
      </w:r>
      <w:r>
        <w:t xml:space="preserve">” in </w:t>
      </w:r>
      <w:r w:rsidRPr="0084752A">
        <w:t>H</w:t>
      </w:r>
      <w:r>
        <w:t>.</w:t>
      </w:r>
      <w:r w:rsidRPr="0084752A">
        <w:t xml:space="preserve"> DAEMS, I</w:t>
      </w:r>
      <w:r>
        <w:t>.</w:t>
      </w:r>
      <w:r w:rsidRPr="0084752A">
        <w:t xml:space="preserve"> DE MEULENEERE, R</w:t>
      </w:r>
      <w:r>
        <w:t>.</w:t>
      </w:r>
      <w:r w:rsidRPr="0084752A">
        <w:t xml:space="preserve"> FELTKAMP, C</w:t>
      </w:r>
      <w:r>
        <w:t>. HOUSSA en</w:t>
      </w:r>
      <w:r w:rsidRPr="0084752A">
        <w:t xml:space="preserve"> R</w:t>
      </w:r>
      <w:r>
        <w:t>.</w:t>
      </w:r>
      <w:r w:rsidRPr="0084752A">
        <w:t xml:space="preserve"> STEENNOT</w:t>
      </w:r>
      <w:r>
        <w:t xml:space="preserve"> (eds.), </w:t>
      </w:r>
      <w:r w:rsidRPr="0084752A">
        <w:rPr>
          <w:i/>
        </w:rPr>
        <w:t>La protection du consommateur en droit financier - Bescherming van de consument in het financieel recht</w:t>
      </w:r>
      <w:r>
        <w:t>, Antwerpen, Intersentia, 2012, (155) 162-163 en de verwijzingen aldaar.</w:t>
      </w:r>
    </w:p>
  </w:footnote>
  <w:footnote w:id="122">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Pr>
          <w:rFonts w:cs="Times New Roman"/>
          <w:szCs w:val="16"/>
        </w:rPr>
        <w:t xml:space="preserve"> Art.</w:t>
      </w:r>
      <w:r w:rsidRPr="008D3595">
        <w:rPr>
          <w:rFonts w:cs="Times New Roman"/>
          <w:szCs w:val="16"/>
        </w:rPr>
        <w:t xml:space="preserve"> 26, eerste lid WFT.</w:t>
      </w:r>
    </w:p>
  </w:footnote>
  <w:footnote w:id="123">
    <w:p w:rsidR="00F84C16" w:rsidRPr="008D3595" w:rsidRDefault="00F84C16" w:rsidP="00F84C16">
      <w:pPr>
        <w:pStyle w:val="Voetnoottekst"/>
        <w:spacing w:before="0" w:line="276" w:lineRule="auto"/>
        <w:rPr>
          <w:rFonts w:cs="Times New Roman"/>
          <w:szCs w:val="16"/>
        </w:rPr>
      </w:pPr>
      <w:r w:rsidRPr="008D3595">
        <w:rPr>
          <w:rStyle w:val="Voetnootmarkering"/>
          <w:rFonts w:cs="Times New Roman"/>
          <w:szCs w:val="16"/>
        </w:rPr>
        <w:footnoteRef/>
      </w:r>
      <w:r w:rsidRPr="008D3595">
        <w:rPr>
          <w:rFonts w:cs="Times New Roman"/>
          <w:szCs w:val="16"/>
        </w:rPr>
        <w:t xml:space="preserve"> V. COLAERT, “MiFID II en de zorgplicht: niets nieuws onder de zon?” in</w:t>
      </w:r>
      <w:r>
        <w:rPr>
          <w:rFonts w:cs="Times New Roman"/>
          <w:szCs w:val="16"/>
        </w:rPr>
        <w:t xml:space="preserve"> I. DE MEULENEERE, V. COLAERT, W. KUPERS en A.S. PIJCKE (eds.),</w:t>
      </w:r>
      <w:r w:rsidRPr="008D3595">
        <w:rPr>
          <w:rFonts w:cs="Times New Roman"/>
          <w:szCs w:val="16"/>
        </w:rPr>
        <w:t xml:space="preserve"> </w:t>
      </w:r>
      <w:r w:rsidRPr="008D3595">
        <w:rPr>
          <w:rFonts w:cs="Times New Roman"/>
          <w:i/>
          <w:szCs w:val="16"/>
        </w:rPr>
        <w:t>MiFID II &amp; MiFIR: capita selecta</w:t>
      </w:r>
      <w:r w:rsidRPr="008D3595">
        <w:rPr>
          <w:rFonts w:cs="Times New Roman"/>
          <w:szCs w:val="16"/>
        </w:rPr>
        <w:t>,</w:t>
      </w:r>
      <w:r>
        <w:rPr>
          <w:rFonts w:cs="Times New Roman"/>
          <w:szCs w:val="16"/>
        </w:rPr>
        <w:t xml:space="preserve"> Louvain-La Neuve, Anthemis, 2018,</w:t>
      </w:r>
      <w:r w:rsidRPr="008D3595">
        <w:rPr>
          <w:rFonts w:cs="Times New Roman"/>
          <w:szCs w:val="16"/>
        </w:rPr>
        <w:t xml:space="preserve"> (99) 112.</w:t>
      </w:r>
    </w:p>
  </w:footnote>
  <w:footnote w:id="124">
    <w:p w:rsidR="00F84C16" w:rsidRPr="00274E8D" w:rsidRDefault="00F84C16" w:rsidP="00F84C16">
      <w:pPr>
        <w:pStyle w:val="Voetnoottekst"/>
        <w:spacing w:before="0" w:line="276" w:lineRule="auto"/>
        <w:rPr>
          <w:szCs w:val="16"/>
        </w:rPr>
      </w:pPr>
      <w:r w:rsidRPr="00274E8D">
        <w:rPr>
          <w:rStyle w:val="Voetnootmarkering"/>
          <w:szCs w:val="16"/>
        </w:rPr>
        <w:footnoteRef/>
      </w:r>
      <w:r w:rsidRPr="00274E8D">
        <w:rPr>
          <w:szCs w:val="16"/>
        </w:rPr>
        <w:t xml:space="preserve"> </w:t>
      </w:r>
      <w:r w:rsidRPr="00274E8D">
        <w:rPr>
          <w:rFonts w:cs="Times New Roman"/>
          <w:szCs w:val="16"/>
        </w:rPr>
        <w:t>RvS 4 maart 2016, nr. 234.037.</w:t>
      </w:r>
    </w:p>
  </w:footnote>
  <w:footnote w:id="125">
    <w:p w:rsidR="00F84C16" w:rsidRPr="00FD46D0" w:rsidRDefault="00F84C16" w:rsidP="00F84C16">
      <w:pPr>
        <w:pStyle w:val="Voetnoottekst"/>
        <w:spacing w:before="0" w:line="276" w:lineRule="auto"/>
        <w:rPr>
          <w:b/>
          <w:bCs/>
        </w:rPr>
      </w:pPr>
      <w:r w:rsidRPr="00FD46D0">
        <w:rPr>
          <w:rStyle w:val="Voetnootmarkering"/>
        </w:rPr>
        <w:footnoteRef/>
      </w:r>
      <w:r w:rsidRPr="00FD46D0">
        <w:t xml:space="preserve"> A-S. VANDAELE, </w:t>
      </w:r>
      <w:r w:rsidRPr="00FD46D0">
        <w:rPr>
          <w:bCs/>
          <w:i/>
        </w:rPr>
        <w:t>De volle rechtsmacht bij de beoordeling van bestuurshandelingen: de rechtsmacht van de Raad van State in het annulatiecontentieux</w:t>
      </w:r>
      <w:r w:rsidRPr="00FD46D0">
        <w:rPr>
          <w:bCs/>
        </w:rPr>
        <w:t xml:space="preserve">, </w:t>
      </w:r>
      <w:r>
        <w:rPr>
          <w:bCs/>
        </w:rPr>
        <w:t>Brugge, Die Keure, 2014, 60-63.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4B9"/>
    <w:multiLevelType w:val="hybridMultilevel"/>
    <w:tmpl w:val="860E58B2"/>
    <w:lvl w:ilvl="0" w:tplc="B1386560">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6D3474"/>
    <w:multiLevelType w:val="hybridMultilevel"/>
    <w:tmpl w:val="F09E95C6"/>
    <w:lvl w:ilvl="0" w:tplc="66DC799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6623E2F"/>
    <w:multiLevelType w:val="hybridMultilevel"/>
    <w:tmpl w:val="C672B7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A5062B"/>
    <w:multiLevelType w:val="hybridMultilevel"/>
    <w:tmpl w:val="38C68AC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F6C05D2"/>
    <w:multiLevelType w:val="hybridMultilevel"/>
    <w:tmpl w:val="E63C43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77C491D"/>
    <w:multiLevelType w:val="hybridMultilevel"/>
    <w:tmpl w:val="9318A974"/>
    <w:lvl w:ilvl="0" w:tplc="FB8CC60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C40769"/>
    <w:multiLevelType w:val="hybridMultilevel"/>
    <w:tmpl w:val="DA3601CE"/>
    <w:lvl w:ilvl="0" w:tplc="B1386560">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AE36270"/>
    <w:multiLevelType w:val="hybridMultilevel"/>
    <w:tmpl w:val="71740C5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DA575FA"/>
    <w:multiLevelType w:val="hybridMultilevel"/>
    <w:tmpl w:val="2D66288C"/>
    <w:lvl w:ilvl="0" w:tplc="711494C6">
      <w:start w:val="1"/>
      <w:numFmt w:val="decimal"/>
      <w:suff w:val="space"/>
      <w:lvlText w:val="%1."/>
      <w:lvlJc w:val="left"/>
      <w:pPr>
        <w:ind w:left="0" w:firstLine="0"/>
      </w:pPr>
      <w:rPr>
        <w:rFonts w:ascii="Times New Roman" w:hAnsi="Times New Roman" w:cstheme="minorBidi"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12D1506"/>
    <w:multiLevelType w:val="hybridMultilevel"/>
    <w:tmpl w:val="E848BBEE"/>
    <w:lvl w:ilvl="0" w:tplc="711494C6">
      <w:start w:val="1"/>
      <w:numFmt w:val="decimal"/>
      <w:suff w:val="space"/>
      <w:lvlText w:val="%1."/>
      <w:lvlJc w:val="left"/>
      <w:pPr>
        <w:ind w:left="0" w:firstLine="0"/>
      </w:pPr>
      <w:rPr>
        <w:rFonts w:ascii="Times New Roman" w:hAnsi="Times New Roman" w:cstheme="minorBidi"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
  </w:num>
  <w:num w:numId="5">
    <w:abstractNumId w:val="5"/>
  </w:num>
  <w:num w:numId="6">
    <w:abstractNumId w:val="0"/>
  </w:num>
  <w:num w:numId="7">
    <w:abstractNumId w:val="6"/>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72"/>
    <w:rsid w:val="00005B3C"/>
    <w:rsid w:val="00017E94"/>
    <w:rsid w:val="000206C3"/>
    <w:rsid w:val="00022896"/>
    <w:rsid w:val="00023D41"/>
    <w:rsid w:val="000247B6"/>
    <w:rsid w:val="00036DA6"/>
    <w:rsid w:val="00037919"/>
    <w:rsid w:val="00043842"/>
    <w:rsid w:val="00051A0D"/>
    <w:rsid w:val="00052A60"/>
    <w:rsid w:val="00052FB2"/>
    <w:rsid w:val="000537DA"/>
    <w:rsid w:val="0007006A"/>
    <w:rsid w:val="0007224C"/>
    <w:rsid w:val="00072A29"/>
    <w:rsid w:val="00076529"/>
    <w:rsid w:val="00097C3E"/>
    <w:rsid w:val="000A4EE7"/>
    <w:rsid w:val="000A6A56"/>
    <w:rsid w:val="000B190C"/>
    <w:rsid w:val="000B4501"/>
    <w:rsid w:val="000B7673"/>
    <w:rsid w:val="000C1F4C"/>
    <w:rsid w:val="000C2035"/>
    <w:rsid w:val="000C7258"/>
    <w:rsid w:val="000C7C9F"/>
    <w:rsid w:val="000D171D"/>
    <w:rsid w:val="000D695A"/>
    <w:rsid w:val="000D721C"/>
    <w:rsid w:val="000E27AC"/>
    <w:rsid w:val="000E2B88"/>
    <w:rsid w:val="000E7BAF"/>
    <w:rsid w:val="000F17C0"/>
    <w:rsid w:val="000F2029"/>
    <w:rsid w:val="000F2459"/>
    <w:rsid w:val="000F5156"/>
    <w:rsid w:val="000F62BA"/>
    <w:rsid w:val="001007D6"/>
    <w:rsid w:val="00106462"/>
    <w:rsid w:val="00115BD6"/>
    <w:rsid w:val="001245C2"/>
    <w:rsid w:val="00126F5E"/>
    <w:rsid w:val="00134882"/>
    <w:rsid w:val="001351CB"/>
    <w:rsid w:val="00135C35"/>
    <w:rsid w:val="001402A3"/>
    <w:rsid w:val="00140B5D"/>
    <w:rsid w:val="00141E7B"/>
    <w:rsid w:val="00142BC0"/>
    <w:rsid w:val="00142ED7"/>
    <w:rsid w:val="001502B8"/>
    <w:rsid w:val="0015142A"/>
    <w:rsid w:val="00160F9B"/>
    <w:rsid w:val="001628E4"/>
    <w:rsid w:val="00163A9C"/>
    <w:rsid w:val="00166447"/>
    <w:rsid w:val="001676FB"/>
    <w:rsid w:val="0017083C"/>
    <w:rsid w:val="0017485D"/>
    <w:rsid w:val="00182584"/>
    <w:rsid w:val="001848D3"/>
    <w:rsid w:val="00191386"/>
    <w:rsid w:val="00191ECD"/>
    <w:rsid w:val="00194186"/>
    <w:rsid w:val="00196ABB"/>
    <w:rsid w:val="001A6CC6"/>
    <w:rsid w:val="001A7539"/>
    <w:rsid w:val="001B0C26"/>
    <w:rsid w:val="001B5A52"/>
    <w:rsid w:val="001D7CA8"/>
    <w:rsid w:val="001E09A9"/>
    <w:rsid w:val="001E1AB0"/>
    <w:rsid w:val="001E1FE1"/>
    <w:rsid w:val="001E2183"/>
    <w:rsid w:val="001E3B5B"/>
    <w:rsid w:val="001E5749"/>
    <w:rsid w:val="001E66DA"/>
    <w:rsid w:val="001F2FF0"/>
    <w:rsid w:val="001F3A8F"/>
    <w:rsid w:val="001F6C92"/>
    <w:rsid w:val="001F7FC8"/>
    <w:rsid w:val="00201DC7"/>
    <w:rsid w:val="00203ED7"/>
    <w:rsid w:val="00222244"/>
    <w:rsid w:val="00224604"/>
    <w:rsid w:val="00226B5E"/>
    <w:rsid w:val="00232863"/>
    <w:rsid w:val="00233633"/>
    <w:rsid w:val="00240AAA"/>
    <w:rsid w:val="00242FA9"/>
    <w:rsid w:val="00253E6B"/>
    <w:rsid w:val="00260CB0"/>
    <w:rsid w:val="002611DE"/>
    <w:rsid w:val="00264A43"/>
    <w:rsid w:val="0026691D"/>
    <w:rsid w:val="00266AB0"/>
    <w:rsid w:val="002714A0"/>
    <w:rsid w:val="00274E8D"/>
    <w:rsid w:val="00275AC5"/>
    <w:rsid w:val="00280B8B"/>
    <w:rsid w:val="002A4BEA"/>
    <w:rsid w:val="002B18DC"/>
    <w:rsid w:val="002B6A63"/>
    <w:rsid w:val="002C5572"/>
    <w:rsid w:val="002C595F"/>
    <w:rsid w:val="002C70DC"/>
    <w:rsid w:val="002E0B56"/>
    <w:rsid w:val="002E2F23"/>
    <w:rsid w:val="002E4C7D"/>
    <w:rsid w:val="002E7108"/>
    <w:rsid w:val="002F0F39"/>
    <w:rsid w:val="002F231B"/>
    <w:rsid w:val="002F63AE"/>
    <w:rsid w:val="002F6758"/>
    <w:rsid w:val="003015AA"/>
    <w:rsid w:val="00301C11"/>
    <w:rsid w:val="00302E89"/>
    <w:rsid w:val="00304481"/>
    <w:rsid w:val="00304DE9"/>
    <w:rsid w:val="00304E89"/>
    <w:rsid w:val="003108A4"/>
    <w:rsid w:val="003117AE"/>
    <w:rsid w:val="00312BBE"/>
    <w:rsid w:val="00312CCB"/>
    <w:rsid w:val="0031421B"/>
    <w:rsid w:val="003337B1"/>
    <w:rsid w:val="00334C66"/>
    <w:rsid w:val="0034008D"/>
    <w:rsid w:val="00342632"/>
    <w:rsid w:val="003466ED"/>
    <w:rsid w:val="0034743F"/>
    <w:rsid w:val="0035342D"/>
    <w:rsid w:val="00356174"/>
    <w:rsid w:val="00362A7C"/>
    <w:rsid w:val="003635D7"/>
    <w:rsid w:val="00364720"/>
    <w:rsid w:val="00370066"/>
    <w:rsid w:val="00370577"/>
    <w:rsid w:val="00373337"/>
    <w:rsid w:val="00380221"/>
    <w:rsid w:val="00381175"/>
    <w:rsid w:val="003857AA"/>
    <w:rsid w:val="00386AD9"/>
    <w:rsid w:val="00387268"/>
    <w:rsid w:val="003A0541"/>
    <w:rsid w:val="003A2096"/>
    <w:rsid w:val="003A61BE"/>
    <w:rsid w:val="003B3B27"/>
    <w:rsid w:val="003B4BE4"/>
    <w:rsid w:val="003C06A5"/>
    <w:rsid w:val="003C552F"/>
    <w:rsid w:val="003D0300"/>
    <w:rsid w:val="003D2DA8"/>
    <w:rsid w:val="003D318C"/>
    <w:rsid w:val="003D5079"/>
    <w:rsid w:val="003D7C89"/>
    <w:rsid w:val="003E3478"/>
    <w:rsid w:val="003F1BA9"/>
    <w:rsid w:val="003F1FF4"/>
    <w:rsid w:val="003F4053"/>
    <w:rsid w:val="003F79F4"/>
    <w:rsid w:val="00405B57"/>
    <w:rsid w:val="00410BF9"/>
    <w:rsid w:val="00411927"/>
    <w:rsid w:val="00412A06"/>
    <w:rsid w:val="004131F2"/>
    <w:rsid w:val="00420B2B"/>
    <w:rsid w:val="00421D26"/>
    <w:rsid w:val="00431614"/>
    <w:rsid w:val="004334A4"/>
    <w:rsid w:val="00437E82"/>
    <w:rsid w:val="00440820"/>
    <w:rsid w:val="00443798"/>
    <w:rsid w:val="0044646C"/>
    <w:rsid w:val="00453EE7"/>
    <w:rsid w:val="00457D2F"/>
    <w:rsid w:val="00460C3F"/>
    <w:rsid w:val="004751A1"/>
    <w:rsid w:val="00483FD3"/>
    <w:rsid w:val="00485497"/>
    <w:rsid w:val="00486AD1"/>
    <w:rsid w:val="00493C75"/>
    <w:rsid w:val="004975A5"/>
    <w:rsid w:val="004A4628"/>
    <w:rsid w:val="004B7393"/>
    <w:rsid w:val="004C101A"/>
    <w:rsid w:val="004C22C5"/>
    <w:rsid w:val="004C3293"/>
    <w:rsid w:val="004C4D02"/>
    <w:rsid w:val="004C69BE"/>
    <w:rsid w:val="004C71FC"/>
    <w:rsid w:val="004D0050"/>
    <w:rsid w:val="004D2E58"/>
    <w:rsid w:val="004D41AA"/>
    <w:rsid w:val="004E6BF5"/>
    <w:rsid w:val="004F439E"/>
    <w:rsid w:val="004F578B"/>
    <w:rsid w:val="00504BCB"/>
    <w:rsid w:val="005058CA"/>
    <w:rsid w:val="00517FE7"/>
    <w:rsid w:val="0052110C"/>
    <w:rsid w:val="0052263D"/>
    <w:rsid w:val="00522B88"/>
    <w:rsid w:val="00525A74"/>
    <w:rsid w:val="005418E8"/>
    <w:rsid w:val="0054395C"/>
    <w:rsid w:val="00552C92"/>
    <w:rsid w:val="00554ECA"/>
    <w:rsid w:val="005648E5"/>
    <w:rsid w:val="00564F0E"/>
    <w:rsid w:val="00565377"/>
    <w:rsid w:val="005704B3"/>
    <w:rsid w:val="0057053E"/>
    <w:rsid w:val="0057213C"/>
    <w:rsid w:val="005759B3"/>
    <w:rsid w:val="00587743"/>
    <w:rsid w:val="00591498"/>
    <w:rsid w:val="005944D0"/>
    <w:rsid w:val="005A16BD"/>
    <w:rsid w:val="005A2B62"/>
    <w:rsid w:val="005A6227"/>
    <w:rsid w:val="005B1C9F"/>
    <w:rsid w:val="005C1EE2"/>
    <w:rsid w:val="005C2047"/>
    <w:rsid w:val="005D35E1"/>
    <w:rsid w:val="005D6774"/>
    <w:rsid w:val="005E31CA"/>
    <w:rsid w:val="005E54E0"/>
    <w:rsid w:val="005F1826"/>
    <w:rsid w:val="005F2C7D"/>
    <w:rsid w:val="005F46B1"/>
    <w:rsid w:val="006113FC"/>
    <w:rsid w:val="006142DA"/>
    <w:rsid w:val="00616530"/>
    <w:rsid w:val="006171F0"/>
    <w:rsid w:val="006340ED"/>
    <w:rsid w:val="00643C19"/>
    <w:rsid w:val="006505EA"/>
    <w:rsid w:val="006508FF"/>
    <w:rsid w:val="006536B0"/>
    <w:rsid w:val="00664410"/>
    <w:rsid w:val="006657F8"/>
    <w:rsid w:val="00665B95"/>
    <w:rsid w:val="00665C2F"/>
    <w:rsid w:val="0066682C"/>
    <w:rsid w:val="006838B6"/>
    <w:rsid w:val="006861FD"/>
    <w:rsid w:val="00691FEE"/>
    <w:rsid w:val="006A31F4"/>
    <w:rsid w:val="006A3B7D"/>
    <w:rsid w:val="006A6540"/>
    <w:rsid w:val="006B0A08"/>
    <w:rsid w:val="006B1940"/>
    <w:rsid w:val="006B2C08"/>
    <w:rsid w:val="006B2E92"/>
    <w:rsid w:val="006B5CB1"/>
    <w:rsid w:val="006C35AB"/>
    <w:rsid w:val="006C3604"/>
    <w:rsid w:val="006D0D4B"/>
    <w:rsid w:val="006D77FF"/>
    <w:rsid w:val="006E6198"/>
    <w:rsid w:val="006F2219"/>
    <w:rsid w:val="00700EA7"/>
    <w:rsid w:val="00706752"/>
    <w:rsid w:val="00710669"/>
    <w:rsid w:val="0071247A"/>
    <w:rsid w:val="00712B40"/>
    <w:rsid w:val="007164D1"/>
    <w:rsid w:val="00725598"/>
    <w:rsid w:val="00726DCB"/>
    <w:rsid w:val="00727EDA"/>
    <w:rsid w:val="00730D7C"/>
    <w:rsid w:val="00733DE2"/>
    <w:rsid w:val="00736CA6"/>
    <w:rsid w:val="00741802"/>
    <w:rsid w:val="00745A90"/>
    <w:rsid w:val="00746A1C"/>
    <w:rsid w:val="0075779E"/>
    <w:rsid w:val="007578FF"/>
    <w:rsid w:val="00762F15"/>
    <w:rsid w:val="00763296"/>
    <w:rsid w:val="00770F8B"/>
    <w:rsid w:val="00772DF2"/>
    <w:rsid w:val="007739A6"/>
    <w:rsid w:val="00774B05"/>
    <w:rsid w:val="00776D60"/>
    <w:rsid w:val="00781F5A"/>
    <w:rsid w:val="00790E76"/>
    <w:rsid w:val="007929EF"/>
    <w:rsid w:val="00792A0B"/>
    <w:rsid w:val="007A3F78"/>
    <w:rsid w:val="007A4300"/>
    <w:rsid w:val="007B0548"/>
    <w:rsid w:val="007C0936"/>
    <w:rsid w:val="007C22C6"/>
    <w:rsid w:val="007D20D8"/>
    <w:rsid w:val="007D6727"/>
    <w:rsid w:val="007E24D4"/>
    <w:rsid w:val="007E462E"/>
    <w:rsid w:val="007E75B0"/>
    <w:rsid w:val="007F16C2"/>
    <w:rsid w:val="007F5683"/>
    <w:rsid w:val="007F6AA0"/>
    <w:rsid w:val="0080073E"/>
    <w:rsid w:val="00801C50"/>
    <w:rsid w:val="00815726"/>
    <w:rsid w:val="0081774B"/>
    <w:rsid w:val="008237B8"/>
    <w:rsid w:val="008272F7"/>
    <w:rsid w:val="00827931"/>
    <w:rsid w:val="00832B3E"/>
    <w:rsid w:val="00840A44"/>
    <w:rsid w:val="00841CAE"/>
    <w:rsid w:val="008437FF"/>
    <w:rsid w:val="0084752A"/>
    <w:rsid w:val="0085174B"/>
    <w:rsid w:val="00861AA2"/>
    <w:rsid w:val="0086390F"/>
    <w:rsid w:val="0086536B"/>
    <w:rsid w:val="00865ACD"/>
    <w:rsid w:val="00867248"/>
    <w:rsid w:val="00870B4D"/>
    <w:rsid w:val="00871338"/>
    <w:rsid w:val="00877B46"/>
    <w:rsid w:val="00882802"/>
    <w:rsid w:val="00882805"/>
    <w:rsid w:val="0088371D"/>
    <w:rsid w:val="0088585D"/>
    <w:rsid w:val="0088598A"/>
    <w:rsid w:val="00894FEF"/>
    <w:rsid w:val="008A2120"/>
    <w:rsid w:val="008A67AD"/>
    <w:rsid w:val="008A738C"/>
    <w:rsid w:val="008B2EBA"/>
    <w:rsid w:val="008B5C36"/>
    <w:rsid w:val="008B6018"/>
    <w:rsid w:val="008B644D"/>
    <w:rsid w:val="008C4DC8"/>
    <w:rsid w:val="008C6252"/>
    <w:rsid w:val="008C70F8"/>
    <w:rsid w:val="008D1A33"/>
    <w:rsid w:val="008D3595"/>
    <w:rsid w:val="008E322D"/>
    <w:rsid w:val="008E458B"/>
    <w:rsid w:val="008E53EC"/>
    <w:rsid w:val="008F5A9E"/>
    <w:rsid w:val="008F730D"/>
    <w:rsid w:val="008F79FD"/>
    <w:rsid w:val="00904E55"/>
    <w:rsid w:val="009110DF"/>
    <w:rsid w:val="00913578"/>
    <w:rsid w:val="00913DBC"/>
    <w:rsid w:val="00916E8D"/>
    <w:rsid w:val="009208E5"/>
    <w:rsid w:val="00923A54"/>
    <w:rsid w:val="0093137A"/>
    <w:rsid w:val="00931E51"/>
    <w:rsid w:val="009358A2"/>
    <w:rsid w:val="00936993"/>
    <w:rsid w:val="009372A2"/>
    <w:rsid w:val="00940220"/>
    <w:rsid w:val="0094022E"/>
    <w:rsid w:val="00941820"/>
    <w:rsid w:val="00960EB8"/>
    <w:rsid w:val="00966A20"/>
    <w:rsid w:val="00966AE0"/>
    <w:rsid w:val="00970212"/>
    <w:rsid w:val="00970615"/>
    <w:rsid w:val="009716B9"/>
    <w:rsid w:val="00980F34"/>
    <w:rsid w:val="00982447"/>
    <w:rsid w:val="00996379"/>
    <w:rsid w:val="009A7CBF"/>
    <w:rsid w:val="009B0512"/>
    <w:rsid w:val="009B2898"/>
    <w:rsid w:val="009C0202"/>
    <w:rsid w:val="009C08C4"/>
    <w:rsid w:val="009C171F"/>
    <w:rsid w:val="009C35B3"/>
    <w:rsid w:val="009C68E3"/>
    <w:rsid w:val="009D683F"/>
    <w:rsid w:val="009E1E0A"/>
    <w:rsid w:val="009E3D36"/>
    <w:rsid w:val="009F5558"/>
    <w:rsid w:val="009F6533"/>
    <w:rsid w:val="00A043DF"/>
    <w:rsid w:val="00A1040B"/>
    <w:rsid w:val="00A1122B"/>
    <w:rsid w:val="00A14B5C"/>
    <w:rsid w:val="00A15E2F"/>
    <w:rsid w:val="00A2251D"/>
    <w:rsid w:val="00A22B26"/>
    <w:rsid w:val="00A26229"/>
    <w:rsid w:val="00A3180B"/>
    <w:rsid w:val="00A33CD2"/>
    <w:rsid w:val="00A378EE"/>
    <w:rsid w:val="00A4255B"/>
    <w:rsid w:val="00A45969"/>
    <w:rsid w:val="00A5065A"/>
    <w:rsid w:val="00A51906"/>
    <w:rsid w:val="00A57AF4"/>
    <w:rsid w:val="00A633E5"/>
    <w:rsid w:val="00A81707"/>
    <w:rsid w:val="00A843B7"/>
    <w:rsid w:val="00A87DB0"/>
    <w:rsid w:val="00A92FE2"/>
    <w:rsid w:val="00A9357C"/>
    <w:rsid w:val="00AA4F06"/>
    <w:rsid w:val="00AB3FBE"/>
    <w:rsid w:val="00AC11C7"/>
    <w:rsid w:val="00AC11F4"/>
    <w:rsid w:val="00AC1FC6"/>
    <w:rsid w:val="00AD1AAF"/>
    <w:rsid w:val="00AD278D"/>
    <w:rsid w:val="00AD71BD"/>
    <w:rsid w:val="00AE3B7C"/>
    <w:rsid w:val="00AE7E1A"/>
    <w:rsid w:val="00AF0078"/>
    <w:rsid w:val="00AF046D"/>
    <w:rsid w:val="00AF0D38"/>
    <w:rsid w:val="00AF37F2"/>
    <w:rsid w:val="00AF3D30"/>
    <w:rsid w:val="00B022A5"/>
    <w:rsid w:val="00B03422"/>
    <w:rsid w:val="00B11AF4"/>
    <w:rsid w:val="00B144FC"/>
    <w:rsid w:val="00B24210"/>
    <w:rsid w:val="00B26D3D"/>
    <w:rsid w:val="00B32959"/>
    <w:rsid w:val="00B34D9B"/>
    <w:rsid w:val="00B40AF8"/>
    <w:rsid w:val="00B456BE"/>
    <w:rsid w:val="00B5130D"/>
    <w:rsid w:val="00B52246"/>
    <w:rsid w:val="00B55AAF"/>
    <w:rsid w:val="00B5637E"/>
    <w:rsid w:val="00B57C2E"/>
    <w:rsid w:val="00B646A7"/>
    <w:rsid w:val="00B64D5C"/>
    <w:rsid w:val="00B65FCC"/>
    <w:rsid w:val="00B674DF"/>
    <w:rsid w:val="00B7665A"/>
    <w:rsid w:val="00B85C4D"/>
    <w:rsid w:val="00B92320"/>
    <w:rsid w:val="00B941CA"/>
    <w:rsid w:val="00BA0AD1"/>
    <w:rsid w:val="00BA5D01"/>
    <w:rsid w:val="00BB600C"/>
    <w:rsid w:val="00BC1871"/>
    <w:rsid w:val="00BC2D15"/>
    <w:rsid w:val="00BD33F8"/>
    <w:rsid w:val="00BD4BF6"/>
    <w:rsid w:val="00BD5637"/>
    <w:rsid w:val="00BD613F"/>
    <w:rsid w:val="00BE02C1"/>
    <w:rsid w:val="00BE07A2"/>
    <w:rsid w:val="00BE07AE"/>
    <w:rsid w:val="00BE260F"/>
    <w:rsid w:val="00BE7188"/>
    <w:rsid w:val="00BF069E"/>
    <w:rsid w:val="00BF47A4"/>
    <w:rsid w:val="00BF6768"/>
    <w:rsid w:val="00C01F2F"/>
    <w:rsid w:val="00C10204"/>
    <w:rsid w:val="00C2701F"/>
    <w:rsid w:val="00C323C2"/>
    <w:rsid w:val="00C368B8"/>
    <w:rsid w:val="00C37447"/>
    <w:rsid w:val="00C44129"/>
    <w:rsid w:val="00C46269"/>
    <w:rsid w:val="00C469BB"/>
    <w:rsid w:val="00C636BB"/>
    <w:rsid w:val="00C72B82"/>
    <w:rsid w:val="00C7588A"/>
    <w:rsid w:val="00C803EC"/>
    <w:rsid w:val="00C842B4"/>
    <w:rsid w:val="00C92A64"/>
    <w:rsid w:val="00C958AC"/>
    <w:rsid w:val="00C97411"/>
    <w:rsid w:val="00CA10A0"/>
    <w:rsid w:val="00CA1C7A"/>
    <w:rsid w:val="00CA60A1"/>
    <w:rsid w:val="00CB407E"/>
    <w:rsid w:val="00CB464C"/>
    <w:rsid w:val="00CB645B"/>
    <w:rsid w:val="00CC04A3"/>
    <w:rsid w:val="00CC3512"/>
    <w:rsid w:val="00CC4412"/>
    <w:rsid w:val="00CC7771"/>
    <w:rsid w:val="00CE5A13"/>
    <w:rsid w:val="00CE60E7"/>
    <w:rsid w:val="00CE70BA"/>
    <w:rsid w:val="00CF57DD"/>
    <w:rsid w:val="00D07522"/>
    <w:rsid w:val="00D25E0F"/>
    <w:rsid w:val="00D27CF9"/>
    <w:rsid w:val="00D3024C"/>
    <w:rsid w:val="00D307EF"/>
    <w:rsid w:val="00D32393"/>
    <w:rsid w:val="00D32611"/>
    <w:rsid w:val="00D34041"/>
    <w:rsid w:val="00D34A49"/>
    <w:rsid w:val="00D363DC"/>
    <w:rsid w:val="00D445CB"/>
    <w:rsid w:val="00D44F5C"/>
    <w:rsid w:val="00D54262"/>
    <w:rsid w:val="00D54B88"/>
    <w:rsid w:val="00D57AB9"/>
    <w:rsid w:val="00D61411"/>
    <w:rsid w:val="00D61AD7"/>
    <w:rsid w:val="00D67BE0"/>
    <w:rsid w:val="00D67D55"/>
    <w:rsid w:val="00D779CE"/>
    <w:rsid w:val="00D80821"/>
    <w:rsid w:val="00D82D79"/>
    <w:rsid w:val="00D83C90"/>
    <w:rsid w:val="00D96704"/>
    <w:rsid w:val="00DA03CC"/>
    <w:rsid w:val="00DA0DA1"/>
    <w:rsid w:val="00DA63E4"/>
    <w:rsid w:val="00DA7213"/>
    <w:rsid w:val="00DB2A27"/>
    <w:rsid w:val="00DB2BF1"/>
    <w:rsid w:val="00DC734F"/>
    <w:rsid w:val="00DD0068"/>
    <w:rsid w:val="00DD06F1"/>
    <w:rsid w:val="00DD7AAD"/>
    <w:rsid w:val="00DE1140"/>
    <w:rsid w:val="00DE1661"/>
    <w:rsid w:val="00DF536A"/>
    <w:rsid w:val="00E03D93"/>
    <w:rsid w:val="00E04ADB"/>
    <w:rsid w:val="00E06032"/>
    <w:rsid w:val="00E06F58"/>
    <w:rsid w:val="00E17C00"/>
    <w:rsid w:val="00E21629"/>
    <w:rsid w:val="00E26267"/>
    <w:rsid w:val="00E2730C"/>
    <w:rsid w:val="00E27FE0"/>
    <w:rsid w:val="00E413DF"/>
    <w:rsid w:val="00E42F2F"/>
    <w:rsid w:val="00E42F39"/>
    <w:rsid w:val="00E50B27"/>
    <w:rsid w:val="00E511B0"/>
    <w:rsid w:val="00E64F47"/>
    <w:rsid w:val="00E66DE1"/>
    <w:rsid w:val="00E74ADA"/>
    <w:rsid w:val="00E75C9A"/>
    <w:rsid w:val="00E827D6"/>
    <w:rsid w:val="00E93E72"/>
    <w:rsid w:val="00EA122D"/>
    <w:rsid w:val="00EA5896"/>
    <w:rsid w:val="00EA7F1E"/>
    <w:rsid w:val="00EC51EC"/>
    <w:rsid w:val="00ED25BB"/>
    <w:rsid w:val="00ED3FFC"/>
    <w:rsid w:val="00ED4079"/>
    <w:rsid w:val="00ED5BA1"/>
    <w:rsid w:val="00EE642C"/>
    <w:rsid w:val="00F00EBE"/>
    <w:rsid w:val="00F136EC"/>
    <w:rsid w:val="00F1406C"/>
    <w:rsid w:val="00F314D2"/>
    <w:rsid w:val="00F37D2E"/>
    <w:rsid w:val="00F40B31"/>
    <w:rsid w:val="00F42004"/>
    <w:rsid w:val="00F440F3"/>
    <w:rsid w:val="00F50A14"/>
    <w:rsid w:val="00F52C88"/>
    <w:rsid w:val="00F53385"/>
    <w:rsid w:val="00F53508"/>
    <w:rsid w:val="00F57C6E"/>
    <w:rsid w:val="00F6295E"/>
    <w:rsid w:val="00F6392C"/>
    <w:rsid w:val="00F71630"/>
    <w:rsid w:val="00F71EFD"/>
    <w:rsid w:val="00F7268F"/>
    <w:rsid w:val="00F74D0F"/>
    <w:rsid w:val="00F77716"/>
    <w:rsid w:val="00F80F36"/>
    <w:rsid w:val="00F82119"/>
    <w:rsid w:val="00F822DD"/>
    <w:rsid w:val="00F83437"/>
    <w:rsid w:val="00F84C16"/>
    <w:rsid w:val="00F91D3C"/>
    <w:rsid w:val="00F921B1"/>
    <w:rsid w:val="00FA102D"/>
    <w:rsid w:val="00FA175C"/>
    <w:rsid w:val="00FA6667"/>
    <w:rsid w:val="00FB0674"/>
    <w:rsid w:val="00FB0C98"/>
    <w:rsid w:val="00FB2A71"/>
    <w:rsid w:val="00FB2E31"/>
    <w:rsid w:val="00FB4038"/>
    <w:rsid w:val="00FB583D"/>
    <w:rsid w:val="00FD171C"/>
    <w:rsid w:val="00FD46D0"/>
    <w:rsid w:val="00FD5FC8"/>
    <w:rsid w:val="00FD6AA6"/>
    <w:rsid w:val="00FD7ADA"/>
    <w:rsid w:val="00FE2BE6"/>
    <w:rsid w:val="00FE694E"/>
    <w:rsid w:val="00FF5810"/>
    <w:rsid w:val="00FF66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A8E90-A258-4FF8-80BF-74225940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1FC6"/>
    <w:pPr>
      <w:spacing w:before="240" w:after="240" w:line="240" w:lineRule="auto"/>
      <w:jc w:val="both"/>
    </w:pPr>
    <w:rPr>
      <w:rFonts w:ascii="Times New Roman" w:hAnsi="Times New Roman"/>
      <w:sz w:val="20"/>
    </w:rPr>
  </w:style>
  <w:style w:type="paragraph" w:styleId="Kop1">
    <w:name w:val="heading 1"/>
    <w:basedOn w:val="Standaard"/>
    <w:next w:val="Standaard"/>
    <w:link w:val="Kop1Char"/>
    <w:uiPriority w:val="9"/>
    <w:qFormat/>
    <w:rsid w:val="00370066"/>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32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E50B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1122B"/>
    <w:pPr>
      <w:contextualSpacing/>
    </w:pPr>
    <w:rPr>
      <w:sz w:val="16"/>
      <w:szCs w:val="20"/>
    </w:rPr>
  </w:style>
  <w:style w:type="character" w:customStyle="1" w:styleId="VoetnoottekstChar">
    <w:name w:val="Voetnoottekst Char"/>
    <w:basedOn w:val="Standaardalinea-lettertype"/>
    <w:link w:val="Voetnoottekst"/>
    <w:uiPriority w:val="99"/>
    <w:rsid w:val="00A1122B"/>
    <w:rPr>
      <w:rFonts w:ascii="Times New Roman" w:hAnsi="Times New Roman"/>
      <w:sz w:val="16"/>
      <w:szCs w:val="20"/>
    </w:rPr>
  </w:style>
  <w:style w:type="character" w:styleId="Voetnootmarkering">
    <w:name w:val="footnote reference"/>
    <w:basedOn w:val="Standaardalinea-lettertype"/>
    <w:uiPriority w:val="99"/>
    <w:unhideWhenUsed/>
    <w:rsid w:val="00BA5D01"/>
    <w:rPr>
      <w:vertAlign w:val="superscript"/>
    </w:rPr>
  </w:style>
  <w:style w:type="character" w:styleId="Hyperlink">
    <w:name w:val="Hyperlink"/>
    <w:basedOn w:val="Standaardalinea-lettertype"/>
    <w:uiPriority w:val="99"/>
    <w:unhideWhenUsed/>
    <w:rsid w:val="0086390F"/>
    <w:rPr>
      <w:color w:val="0000FF"/>
      <w:u w:val="single"/>
    </w:rPr>
  </w:style>
  <w:style w:type="character" w:styleId="GevolgdeHyperlink">
    <w:name w:val="FollowedHyperlink"/>
    <w:basedOn w:val="Standaardalinea-lettertype"/>
    <w:uiPriority w:val="99"/>
    <w:semiHidden/>
    <w:unhideWhenUsed/>
    <w:rsid w:val="00DA03CC"/>
    <w:rPr>
      <w:color w:val="954F72" w:themeColor="followedHyperlink"/>
      <w:u w:val="single"/>
    </w:rPr>
  </w:style>
  <w:style w:type="paragraph" w:styleId="Lijstalinea">
    <w:name w:val="List Paragraph"/>
    <w:basedOn w:val="Standaard"/>
    <w:uiPriority w:val="34"/>
    <w:qFormat/>
    <w:rsid w:val="00643C19"/>
    <w:pPr>
      <w:spacing w:after="200"/>
    </w:pPr>
  </w:style>
  <w:style w:type="character" w:styleId="Tekstvantijdelijkeaanduiding">
    <w:name w:val="Placeholder Text"/>
    <w:basedOn w:val="Standaardalinea-lettertype"/>
    <w:uiPriority w:val="99"/>
    <w:semiHidden/>
    <w:rsid w:val="00E66DE1"/>
    <w:rPr>
      <w:color w:val="808080"/>
    </w:rPr>
  </w:style>
  <w:style w:type="paragraph" w:styleId="Geenafstand">
    <w:name w:val="No Spacing"/>
    <w:uiPriority w:val="1"/>
    <w:qFormat/>
    <w:rsid w:val="001D7CA8"/>
    <w:pPr>
      <w:spacing w:after="0" w:line="240" w:lineRule="auto"/>
      <w:jc w:val="both"/>
    </w:pPr>
    <w:rPr>
      <w:rFonts w:ascii="Times New Roman" w:hAnsi="Times New Roman"/>
    </w:rPr>
  </w:style>
  <w:style w:type="paragraph" w:customStyle="1" w:styleId="ITSFootnote">
    <w:name w:val="ITS_Footnote"/>
    <w:basedOn w:val="Standaard"/>
    <w:uiPriority w:val="99"/>
    <w:rsid w:val="00904E55"/>
    <w:pPr>
      <w:spacing w:before="0" w:after="0" w:line="200" w:lineRule="atLeast"/>
      <w:ind w:left="397" w:hanging="397"/>
    </w:pPr>
    <w:rPr>
      <w:rFonts w:ascii="Minion Pro" w:eastAsia="Times New Roman" w:hAnsi="Minion Pro" w:cs="MinionPro-Regular"/>
      <w:color w:val="000000"/>
      <w:sz w:val="16"/>
      <w:szCs w:val="16"/>
      <w:lang w:val="en-GB" w:eastAsia="nl-BE"/>
    </w:rPr>
  </w:style>
  <w:style w:type="character" w:customStyle="1" w:styleId="Kop4Char">
    <w:name w:val="Kop 4 Char"/>
    <w:basedOn w:val="Standaardalinea-lettertype"/>
    <w:link w:val="Kop4"/>
    <w:uiPriority w:val="9"/>
    <w:semiHidden/>
    <w:rsid w:val="00E50B27"/>
    <w:rPr>
      <w:rFonts w:asciiTheme="majorHAnsi" w:eastAsiaTheme="majorEastAsia" w:hAnsiTheme="majorHAnsi" w:cstheme="majorBidi"/>
      <w:i/>
      <w:iCs/>
      <w:color w:val="2E74B5" w:themeColor="accent1" w:themeShade="BF"/>
      <w:sz w:val="20"/>
    </w:rPr>
  </w:style>
  <w:style w:type="character" w:customStyle="1" w:styleId="Kop1Char">
    <w:name w:val="Kop 1 Char"/>
    <w:basedOn w:val="Standaardalinea-lettertype"/>
    <w:link w:val="Kop1"/>
    <w:uiPriority w:val="9"/>
    <w:rsid w:val="0037006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232863"/>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B022A5"/>
    <w:pPr>
      <w:tabs>
        <w:tab w:val="center" w:pos="4536"/>
        <w:tab w:val="right" w:pos="9072"/>
      </w:tabs>
      <w:spacing w:before="0" w:after="0"/>
    </w:pPr>
  </w:style>
  <w:style w:type="character" w:customStyle="1" w:styleId="KoptekstChar">
    <w:name w:val="Koptekst Char"/>
    <w:basedOn w:val="Standaardalinea-lettertype"/>
    <w:link w:val="Koptekst"/>
    <w:uiPriority w:val="99"/>
    <w:rsid w:val="00B022A5"/>
    <w:rPr>
      <w:rFonts w:ascii="Times New Roman" w:hAnsi="Times New Roman"/>
      <w:sz w:val="20"/>
    </w:rPr>
  </w:style>
  <w:style w:type="paragraph" w:styleId="Voettekst">
    <w:name w:val="footer"/>
    <w:basedOn w:val="Standaard"/>
    <w:link w:val="VoettekstChar"/>
    <w:uiPriority w:val="99"/>
    <w:unhideWhenUsed/>
    <w:rsid w:val="00B022A5"/>
    <w:pPr>
      <w:tabs>
        <w:tab w:val="center" w:pos="4536"/>
        <w:tab w:val="right" w:pos="9072"/>
      </w:tabs>
      <w:spacing w:before="0" w:after="0"/>
    </w:pPr>
  </w:style>
  <w:style w:type="character" w:customStyle="1" w:styleId="VoettekstChar">
    <w:name w:val="Voettekst Char"/>
    <w:basedOn w:val="Standaardalinea-lettertype"/>
    <w:link w:val="Voettekst"/>
    <w:uiPriority w:val="99"/>
    <w:rsid w:val="00B022A5"/>
    <w:rPr>
      <w:rFonts w:ascii="Times New Roman" w:hAnsi="Times New Roman"/>
      <w:sz w:val="20"/>
    </w:rPr>
  </w:style>
  <w:style w:type="paragraph" w:styleId="Ballontekst">
    <w:name w:val="Balloon Text"/>
    <w:basedOn w:val="Standaard"/>
    <w:link w:val="BallontekstChar"/>
    <w:uiPriority w:val="99"/>
    <w:semiHidden/>
    <w:unhideWhenUsed/>
    <w:rsid w:val="00017E94"/>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7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589">
      <w:bodyDiv w:val="1"/>
      <w:marLeft w:val="0"/>
      <w:marRight w:val="0"/>
      <w:marTop w:val="0"/>
      <w:marBottom w:val="0"/>
      <w:divBdr>
        <w:top w:val="none" w:sz="0" w:space="0" w:color="auto"/>
        <w:left w:val="none" w:sz="0" w:space="0" w:color="auto"/>
        <w:bottom w:val="none" w:sz="0" w:space="0" w:color="auto"/>
        <w:right w:val="none" w:sz="0" w:space="0" w:color="auto"/>
      </w:divBdr>
    </w:div>
    <w:div w:id="217589580">
      <w:bodyDiv w:val="1"/>
      <w:marLeft w:val="0"/>
      <w:marRight w:val="0"/>
      <w:marTop w:val="0"/>
      <w:marBottom w:val="0"/>
      <w:divBdr>
        <w:top w:val="none" w:sz="0" w:space="0" w:color="auto"/>
        <w:left w:val="none" w:sz="0" w:space="0" w:color="auto"/>
        <w:bottom w:val="none" w:sz="0" w:space="0" w:color="auto"/>
        <w:right w:val="none" w:sz="0" w:space="0" w:color="auto"/>
      </w:divBdr>
    </w:div>
    <w:div w:id="377362168">
      <w:bodyDiv w:val="1"/>
      <w:marLeft w:val="0"/>
      <w:marRight w:val="0"/>
      <w:marTop w:val="0"/>
      <w:marBottom w:val="0"/>
      <w:divBdr>
        <w:top w:val="none" w:sz="0" w:space="0" w:color="auto"/>
        <w:left w:val="none" w:sz="0" w:space="0" w:color="auto"/>
        <w:bottom w:val="none" w:sz="0" w:space="0" w:color="auto"/>
        <w:right w:val="none" w:sz="0" w:space="0" w:color="auto"/>
      </w:divBdr>
    </w:div>
    <w:div w:id="404881620">
      <w:bodyDiv w:val="1"/>
      <w:marLeft w:val="0"/>
      <w:marRight w:val="0"/>
      <w:marTop w:val="0"/>
      <w:marBottom w:val="0"/>
      <w:divBdr>
        <w:top w:val="none" w:sz="0" w:space="0" w:color="auto"/>
        <w:left w:val="none" w:sz="0" w:space="0" w:color="auto"/>
        <w:bottom w:val="none" w:sz="0" w:space="0" w:color="auto"/>
        <w:right w:val="none" w:sz="0" w:space="0" w:color="auto"/>
      </w:divBdr>
    </w:div>
    <w:div w:id="649598859">
      <w:bodyDiv w:val="1"/>
      <w:marLeft w:val="0"/>
      <w:marRight w:val="0"/>
      <w:marTop w:val="0"/>
      <w:marBottom w:val="0"/>
      <w:divBdr>
        <w:top w:val="none" w:sz="0" w:space="0" w:color="auto"/>
        <w:left w:val="none" w:sz="0" w:space="0" w:color="auto"/>
        <w:bottom w:val="none" w:sz="0" w:space="0" w:color="auto"/>
        <w:right w:val="none" w:sz="0" w:space="0" w:color="auto"/>
      </w:divBdr>
    </w:div>
    <w:div w:id="822089434">
      <w:bodyDiv w:val="1"/>
      <w:marLeft w:val="0"/>
      <w:marRight w:val="0"/>
      <w:marTop w:val="0"/>
      <w:marBottom w:val="0"/>
      <w:divBdr>
        <w:top w:val="none" w:sz="0" w:space="0" w:color="auto"/>
        <w:left w:val="none" w:sz="0" w:space="0" w:color="auto"/>
        <w:bottom w:val="none" w:sz="0" w:space="0" w:color="auto"/>
        <w:right w:val="none" w:sz="0" w:space="0" w:color="auto"/>
      </w:divBdr>
    </w:div>
    <w:div w:id="883252707">
      <w:bodyDiv w:val="1"/>
      <w:marLeft w:val="0"/>
      <w:marRight w:val="0"/>
      <w:marTop w:val="0"/>
      <w:marBottom w:val="0"/>
      <w:divBdr>
        <w:top w:val="none" w:sz="0" w:space="0" w:color="auto"/>
        <w:left w:val="none" w:sz="0" w:space="0" w:color="auto"/>
        <w:bottom w:val="none" w:sz="0" w:space="0" w:color="auto"/>
        <w:right w:val="none" w:sz="0" w:space="0" w:color="auto"/>
      </w:divBdr>
    </w:div>
    <w:div w:id="1118908855">
      <w:bodyDiv w:val="1"/>
      <w:marLeft w:val="0"/>
      <w:marRight w:val="0"/>
      <w:marTop w:val="0"/>
      <w:marBottom w:val="0"/>
      <w:divBdr>
        <w:top w:val="none" w:sz="0" w:space="0" w:color="auto"/>
        <w:left w:val="none" w:sz="0" w:space="0" w:color="auto"/>
        <w:bottom w:val="none" w:sz="0" w:space="0" w:color="auto"/>
        <w:right w:val="none" w:sz="0" w:space="0" w:color="auto"/>
      </w:divBdr>
    </w:div>
    <w:div w:id="1287084301">
      <w:bodyDiv w:val="1"/>
      <w:marLeft w:val="0"/>
      <w:marRight w:val="0"/>
      <w:marTop w:val="0"/>
      <w:marBottom w:val="0"/>
      <w:divBdr>
        <w:top w:val="none" w:sz="0" w:space="0" w:color="auto"/>
        <w:left w:val="none" w:sz="0" w:space="0" w:color="auto"/>
        <w:bottom w:val="none" w:sz="0" w:space="0" w:color="auto"/>
        <w:right w:val="none" w:sz="0" w:space="0" w:color="auto"/>
      </w:divBdr>
    </w:div>
    <w:div w:id="1398941390">
      <w:bodyDiv w:val="1"/>
      <w:marLeft w:val="0"/>
      <w:marRight w:val="0"/>
      <w:marTop w:val="0"/>
      <w:marBottom w:val="0"/>
      <w:divBdr>
        <w:top w:val="none" w:sz="0" w:space="0" w:color="auto"/>
        <w:left w:val="none" w:sz="0" w:space="0" w:color="auto"/>
        <w:bottom w:val="none" w:sz="0" w:space="0" w:color="auto"/>
        <w:right w:val="none" w:sz="0" w:space="0" w:color="auto"/>
      </w:divBdr>
    </w:div>
    <w:div w:id="1418403677">
      <w:bodyDiv w:val="1"/>
      <w:marLeft w:val="0"/>
      <w:marRight w:val="0"/>
      <w:marTop w:val="0"/>
      <w:marBottom w:val="0"/>
      <w:divBdr>
        <w:top w:val="none" w:sz="0" w:space="0" w:color="auto"/>
        <w:left w:val="none" w:sz="0" w:space="0" w:color="auto"/>
        <w:bottom w:val="none" w:sz="0" w:space="0" w:color="auto"/>
        <w:right w:val="none" w:sz="0" w:space="0" w:color="auto"/>
      </w:divBdr>
      <w:divsChild>
        <w:div w:id="650788351">
          <w:marLeft w:val="0"/>
          <w:marRight w:val="0"/>
          <w:marTop w:val="0"/>
          <w:marBottom w:val="0"/>
          <w:divBdr>
            <w:top w:val="none" w:sz="0" w:space="0" w:color="auto"/>
            <w:left w:val="none" w:sz="0" w:space="0" w:color="auto"/>
            <w:bottom w:val="none" w:sz="0" w:space="0" w:color="auto"/>
            <w:right w:val="none" w:sz="0" w:space="0" w:color="auto"/>
          </w:divBdr>
        </w:div>
        <w:div w:id="1842962976">
          <w:marLeft w:val="240"/>
          <w:marRight w:val="0"/>
          <w:marTop w:val="0"/>
          <w:marBottom w:val="0"/>
          <w:divBdr>
            <w:top w:val="none" w:sz="0" w:space="0" w:color="auto"/>
            <w:left w:val="none" w:sz="0" w:space="0" w:color="auto"/>
            <w:bottom w:val="none" w:sz="0" w:space="0" w:color="auto"/>
            <w:right w:val="none" w:sz="0" w:space="0" w:color="auto"/>
          </w:divBdr>
        </w:div>
        <w:div w:id="2145196383">
          <w:marLeft w:val="240"/>
          <w:marRight w:val="0"/>
          <w:marTop w:val="0"/>
          <w:marBottom w:val="0"/>
          <w:divBdr>
            <w:top w:val="none" w:sz="0" w:space="0" w:color="auto"/>
            <w:left w:val="none" w:sz="0" w:space="0" w:color="auto"/>
            <w:bottom w:val="none" w:sz="0" w:space="0" w:color="auto"/>
            <w:right w:val="none" w:sz="0" w:space="0" w:color="auto"/>
          </w:divBdr>
        </w:div>
      </w:divsChild>
    </w:div>
    <w:div w:id="1505515439">
      <w:bodyDiv w:val="1"/>
      <w:marLeft w:val="0"/>
      <w:marRight w:val="0"/>
      <w:marTop w:val="0"/>
      <w:marBottom w:val="0"/>
      <w:divBdr>
        <w:top w:val="none" w:sz="0" w:space="0" w:color="auto"/>
        <w:left w:val="none" w:sz="0" w:space="0" w:color="auto"/>
        <w:bottom w:val="none" w:sz="0" w:space="0" w:color="auto"/>
        <w:right w:val="none" w:sz="0" w:space="0" w:color="auto"/>
      </w:divBdr>
    </w:div>
    <w:div w:id="1519537080">
      <w:bodyDiv w:val="1"/>
      <w:marLeft w:val="0"/>
      <w:marRight w:val="0"/>
      <w:marTop w:val="0"/>
      <w:marBottom w:val="0"/>
      <w:divBdr>
        <w:top w:val="none" w:sz="0" w:space="0" w:color="auto"/>
        <w:left w:val="none" w:sz="0" w:space="0" w:color="auto"/>
        <w:bottom w:val="none" w:sz="0" w:space="0" w:color="auto"/>
        <w:right w:val="none" w:sz="0" w:space="0" w:color="auto"/>
      </w:divBdr>
    </w:div>
    <w:div w:id="1831631218">
      <w:bodyDiv w:val="1"/>
      <w:marLeft w:val="0"/>
      <w:marRight w:val="0"/>
      <w:marTop w:val="0"/>
      <w:marBottom w:val="0"/>
      <w:divBdr>
        <w:top w:val="none" w:sz="0" w:space="0" w:color="auto"/>
        <w:left w:val="none" w:sz="0" w:space="0" w:color="auto"/>
        <w:bottom w:val="none" w:sz="0" w:space="0" w:color="auto"/>
        <w:right w:val="none" w:sz="0" w:space="0" w:color="auto"/>
      </w:divBdr>
    </w:div>
    <w:div w:id="1863283306">
      <w:bodyDiv w:val="1"/>
      <w:marLeft w:val="0"/>
      <w:marRight w:val="0"/>
      <w:marTop w:val="0"/>
      <w:marBottom w:val="0"/>
      <w:divBdr>
        <w:top w:val="none" w:sz="0" w:space="0" w:color="auto"/>
        <w:left w:val="none" w:sz="0" w:space="0" w:color="auto"/>
        <w:bottom w:val="none" w:sz="0" w:space="0" w:color="auto"/>
        <w:right w:val="none" w:sz="0" w:space="0" w:color="auto"/>
      </w:divBdr>
    </w:div>
    <w:div w:id="2023778665">
      <w:bodyDiv w:val="1"/>
      <w:marLeft w:val="0"/>
      <w:marRight w:val="0"/>
      <w:marTop w:val="0"/>
      <w:marBottom w:val="0"/>
      <w:divBdr>
        <w:top w:val="none" w:sz="0" w:space="0" w:color="auto"/>
        <w:left w:val="none" w:sz="0" w:space="0" w:color="auto"/>
        <w:bottom w:val="none" w:sz="0" w:space="0" w:color="auto"/>
        <w:right w:val="none" w:sz="0" w:space="0" w:color="auto"/>
      </w:divBdr>
    </w:div>
    <w:div w:id="2108036745">
      <w:bodyDiv w:val="1"/>
      <w:marLeft w:val="0"/>
      <w:marRight w:val="0"/>
      <w:marTop w:val="0"/>
      <w:marBottom w:val="0"/>
      <w:divBdr>
        <w:top w:val="none" w:sz="0" w:space="0" w:color="auto"/>
        <w:left w:val="none" w:sz="0" w:space="0" w:color="auto"/>
        <w:bottom w:val="none" w:sz="0" w:space="0" w:color="auto"/>
        <w:right w:val="none" w:sz="0" w:space="0" w:color="auto"/>
      </w:divBdr>
    </w:div>
    <w:div w:id="21252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sma.europa.eu/sites/default/files/library/esma22-106-264_smsg_own_initiative_report_product_intervention_0.pdf" TargetMode="External"/><Relationship Id="rId2" Type="http://schemas.openxmlformats.org/officeDocument/2006/relationships/hyperlink" Target="https://www.esma.europa.eu/sites/default/files/library/esma22-106-264_smsg_own_initiative_report_product_intervention_0.pdf" TargetMode="External"/><Relationship Id="rId1" Type="http://schemas.openxmlformats.org/officeDocument/2006/relationships/hyperlink" Target="https://www.fsma.be/sites/default/files/public/sitecore/media%20library/Files/fsmafiles/press/2011/nipic/nl/fsma_2011_02.pdf" TargetMode="External"/><Relationship Id="rId4" Type="http://schemas.openxmlformats.org/officeDocument/2006/relationships/hyperlink" Target="https://www.esma.europa.eu/about-esma/governance/european-supervisory-framewor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A3AA2-EC00-40B3-A09E-3EA267B7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8890</Words>
  <Characters>48895</Characters>
  <Application>Microsoft Office Word</Application>
  <DocSecurity>0</DocSecurity>
  <Lines>407</Lines>
  <Paragraphs>115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Vereecken</dc:creator>
  <cp:keywords/>
  <dc:description/>
  <cp:lastModifiedBy>Katrien De Clercq</cp:lastModifiedBy>
  <cp:revision>2</cp:revision>
  <cp:lastPrinted>2018-12-20T16:07:00Z</cp:lastPrinted>
  <dcterms:created xsi:type="dcterms:W3CDTF">2019-12-18T10:36:00Z</dcterms:created>
  <dcterms:modified xsi:type="dcterms:W3CDTF">2019-12-18T10:36:00Z</dcterms:modified>
</cp:coreProperties>
</file>