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D6E2" w14:textId="468953C0" w:rsidR="004D19AF" w:rsidRDefault="002A6ADA" w:rsidP="00876C07">
      <w:pPr>
        <w:jc w:val="both"/>
        <w:rPr>
          <w:rFonts w:ascii="Times New Roman" w:hAnsi="Times New Roman" w:cs="Times New Roman"/>
          <w:b/>
          <w:sz w:val="24"/>
          <w:szCs w:val="24"/>
          <w:lang w:val="en-GB"/>
        </w:rPr>
      </w:pPr>
      <w:r>
        <w:rPr>
          <w:rFonts w:ascii="Times New Roman" w:hAnsi="Times New Roman" w:cs="Times New Roman"/>
          <w:b/>
          <w:sz w:val="24"/>
          <w:szCs w:val="24"/>
          <w:lang w:val="en-GB"/>
        </w:rPr>
        <w:t>T</w:t>
      </w:r>
      <w:r w:rsidR="003F29ED" w:rsidRPr="00876C07">
        <w:rPr>
          <w:rFonts w:ascii="Times New Roman" w:hAnsi="Times New Roman" w:cs="Times New Roman"/>
          <w:b/>
          <w:sz w:val="24"/>
          <w:szCs w:val="24"/>
          <w:lang w:val="en-GB"/>
        </w:rPr>
        <w:t xml:space="preserve">he </w:t>
      </w:r>
      <w:r w:rsidR="00245233" w:rsidRPr="00876C07">
        <w:rPr>
          <w:rFonts w:ascii="Times New Roman" w:hAnsi="Times New Roman" w:cs="Times New Roman"/>
          <w:b/>
          <w:sz w:val="24"/>
          <w:szCs w:val="24"/>
          <w:lang w:val="en-GB"/>
        </w:rPr>
        <w:t>appointment o</w:t>
      </w:r>
      <w:bookmarkStart w:id="0" w:name="_GoBack"/>
      <w:bookmarkEnd w:id="0"/>
      <w:r w:rsidR="00245233" w:rsidRPr="00876C07">
        <w:rPr>
          <w:rFonts w:ascii="Times New Roman" w:hAnsi="Times New Roman" w:cs="Times New Roman"/>
          <w:b/>
          <w:sz w:val="24"/>
          <w:szCs w:val="24"/>
          <w:lang w:val="en-GB"/>
        </w:rPr>
        <w:t xml:space="preserve">f judges and </w:t>
      </w:r>
      <w:r w:rsidR="00187586" w:rsidRPr="00876C07">
        <w:rPr>
          <w:rFonts w:ascii="Times New Roman" w:hAnsi="Times New Roman" w:cs="Times New Roman"/>
          <w:b/>
          <w:sz w:val="24"/>
          <w:szCs w:val="24"/>
          <w:lang w:val="en-GB"/>
        </w:rPr>
        <w:t>the right to a tribunal established by law</w:t>
      </w:r>
      <w:r>
        <w:rPr>
          <w:rFonts w:ascii="Times New Roman" w:hAnsi="Times New Roman" w:cs="Times New Roman"/>
          <w:b/>
          <w:sz w:val="24"/>
          <w:szCs w:val="24"/>
          <w:lang w:val="en-GB"/>
        </w:rPr>
        <w:t xml:space="preserve">: </w:t>
      </w:r>
      <w:r w:rsidR="008A244F">
        <w:rPr>
          <w:rFonts w:ascii="Times New Roman" w:hAnsi="Times New Roman" w:cs="Times New Roman"/>
          <w:b/>
          <w:sz w:val="24"/>
          <w:szCs w:val="24"/>
          <w:lang w:val="en-GB"/>
        </w:rPr>
        <w:t>the ECJ tightens its grip on issues of domestic judicial organization</w:t>
      </w:r>
      <w:r w:rsidR="00187586" w:rsidRPr="00876C07">
        <w:rPr>
          <w:rFonts w:ascii="Times New Roman" w:hAnsi="Times New Roman" w:cs="Times New Roman"/>
          <w:b/>
          <w:sz w:val="24"/>
          <w:szCs w:val="24"/>
          <w:lang w:val="en-GB"/>
        </w:rPr>
        <w:t>.</w:t>
      </w:r>
    </w:p>
    <w:p w14:paraId="12EAB75A" w14:textId="2697E5F9" w:rsidR="003130EC" w:rsidRPr="003130EC" w:rsidRDefault="003130EC"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Joined Cases C-542/18 RX-II and C-543/18 RX-II,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 </w:t>
      </w:r>
      <w:r>
        <w:rPr>
          <w:rFonts w:ascii="Times New Roman" w:hAnsi="Times New Roman" w:cs="Times New Roman"/>
          <w:sz w:val="24"/>
          <w:szCs w:val="24"/>
          <w:lang w:val="en-GB"/>
        </w:rPr>
        <w:t xml:space="preserve">v. </w:t>
      </w:r>
      <w:r>
        <w:rPr>
          <w:rFonts w:ascii="Times New Roman" w:hAnsi="Times New Roman" w:cs="Times New Roman"/>
          <w:i/>
          <w:sz w:val="24"/>
          <w:szCs w:val="24"/>
          <w:lang w:val="en-GB"/>
        </w:rPr>
        <w:t xml:space="preserve">Council and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HG </w:t>
      </w:r>
      <w:r>
        <w:rPr>
          <w:rFonts w:ascii="Times New Roman" w:hAnsi="Times New Roman" w:cs="Times New Roman"/>
          <w:sz w:val="24"/>
          <w:szCs w:val="24"/>
          <w:lang w:val="en-GB"/>
        </w:rPr>
        <w:t xml:space="preserve">v. </w:t>
      </w:r>
      <w:r>
        <w:rPr>
          <w:rFonts w:ascii="Times New Roman" w:hAnsi="Times New Roman" w:cs="Times New Roman"/>
          <w:i/>
          <w:sz w:val="24"/>
          <w:szCs w:val="24"/>
          <w:lang w:val="en-GB"/>
        </w:rPr>
        <w:t>Commission</w:t>
      </w:r>
      <w:r>
        <w:rPr>
          <w:rFonts w:ascii="Times New Roman" w:hAnsi="Times New Roman" w:cs="Times New Roman"/>
          <w:sz w:val="24"/>
          <w:szCs w:val="24"/>
          <w:lang w:val="en-GB"/>
        </w:rPr>
        <w:t>, Judgment of the Court (Grand Chamber) of 26 March 2020, EU:C:2020:232.</w:t>
      </w:r>
    </w:p>
    <w:p w14:paraId="49B96994" w14:textId="77777777" w:rsidR="006C4310" w:rsidRPr="00876C07" w:rsidRDefault="006C4310" w:rsidP="00876C07">
      <w:pPr>
        <w:jc w:val="both"/>
        <w:rPr>
          <w:rFonts w:ascii="Times New Roman" w:hAnsi="Times New Roman" w:cs="Times New Roman"/>
          <w:sz w:val="24"/>
          <w:szCs w:val="24"/>
          <w:lang w:val="en-GB"/>
        </w:rPr>
      </w:pPr>
    </w:p>
    <w:p w14:paraId="63A24E18" w14:textId="77777777" w:rsidR="003F29ED" w:rsidRPr="00876C07" w:rsidRDefault="00876C07" w:rsidP="00876C07">
      <w:pPr>
        <w:pStyle w:val="Lijstalinea"/>
        <w:numPr>
          <w:ilvl w:val="0"/>
          <w:numId w:val="3"/>
        </w:numPr>
        <w:jc w:val="both"/>
        <w:rPr>
          <w:rFonts w:ascii="Times New Roman" w:hAnsi="Times New Roman" w:cs="Times New Roman"/>
          <w:sz w:val="24"/>
          <w:szCs w:val="24"/>
          <w:lang w:val="en-GB"/>
        </w:rPr>
      </w:pPr>
      <w:r w:rsidRPr="00876C07">
        <w:rPr>
          <w:rFonts w:ascii="Times New Roman" w:hAnsi="Times New Roman" w:cs="Times New Roman"/>
          <w:sz w:val="24"/>
          <w:szCs w:val="24"/>
          <w:lang w:val="en-GB"/>
        </w:rPr>
        <w:t>INTRODUCTION</w:t>
      </w:r>
    </w:p>
    <w:p w14:paraId="649AD6CB" w14:textId="1D5A0E79" w:rsidR="00876C07" w:rsidRDefault="00876C07"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The existence of a judicial dialogue on the</w:t>
      </w:r>
      <w:r w:rsidR="00007928" w:rsidRPr="00007928">
        <w:rPr>
          <w:rFonts w:ascii="Times New Roman" w:hAnsi="Times New Roman" w:cs="Times New Roman"/>
          <w:sz w:val="24"/>
          <w:szCs w:val="24"/>
          <w:lang w:val="en-GB"/>
        </w:rPr>
        <w:t xml:space="preserve"> </w:t>
      </w:r>
      <w:r w:rsidR="00007928">
        <w:rPr>
          <w:rFonts w:ascii="Times New Roman" w:hAnsi="Times New Roman" w:cs="Times New Roman"/>
          <w:sz w:val="24"/>
          <w:szCs w:val="24"/>
          <w:lang w:val="en-GB"/>
        </w:rPr>
        <w:t>European level between the European Court of Justice</w:t>
      </w:r>
      <w:r>
        <w:rPr>
          <w:rFonts w:ascii="Times New Roman" w:hAnsi="Times New Roman" w:cs="Times New Roman"/>
          <w:sz w:val="24"/>
          <w:szCs w:val="24"/>
          <w:lang w:val="en-GB"/>
        </w:rPr>
        <w:t xml:space="preserve"> and the European Court of Human Rights has been well-established.</w:t>
      </w:r>
      <w:r>
        <w:rPr>
          <w:rStyle w:val="Voetnootmarkering"/>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w:t>
      </w:r>
      <w:r w:rsidR="00B27EAD">
        <w:rPr>
          <w:rFonts w:ascii="Times New Roman" w:hAnsi="Times New Roman" w:cs="Times New Roman"/>
          <w:sz w:val="24"/>
          <w:szCs w:val="24"/>
          <w:lang w:val="en-GB"/>
        </w:rPr>
        <w:t xml:space="preserve">Scholars have </w:t>
      </w:r>
      <w:r w:rsidR="009646A2">
        <w:rPr>
          <w:rFonts w:ascii="Times New Roman" w:hAnsi="Times New Roman" w:cs="Times New Roman"/>
          <w:sz w:val="24"/>
          <w:szCs w:val="24"/>
          <w:lang w:val="en-GB"/>
        </w:rPr>
        <w:t>carefully documented</w:t>
      </w:r>
      <w:r w:rsidR="00B27EAD">
        <w:rPr>
          <w:rFonts w:ascii="Times New Roman" w:hAnsi="Times New Roman" w:cs="Times New Roman"/>
          <w:sz w:val="24"/>
          <w:szCs w:val="24"/>
          <w:lang w:val="en-GB"/>
        </w:rPr>
        <w:t xml:space="preserve"> </w:t>
      </w:r>
      <w:r w:rsidR="009646A2">
        <w:rPr>
          <w:rFonts w:ascii="Times New Roman" w:hAnsi="Times New Roman" w:cs="Times New Roman"/>
          <w:sz w:val="24"/>
          <w:szCs w:val="24"/>
          <w:lang w:val="en-GB"/>
        </w:rPr>
        <w:t xml:space="preserve">instances where </w:t>
      </w:r>
      <w:r w:rsidR="00007928">
        <w:rPr>
          <w:rFonts w:ascii="Times New Roman" w:hAnsi="Times New Roman" w:cs="Times New Roman"/>
          <w:sz w:val="24"/>
          <w:szCs w:val="24"/>
          <w:lang w:val="en-GB"/>
        </w:rPr>
        <w:t>‘</w:t>
      </w:r>
      <w:r w:rsidR="009646A2">
        <w:rPr>
          <w:rFonts w:ascii="Times New Roman" w:hAnsi="Times New Roman" w:cs="Times New Roman"/>
          <w:sz w:val="24"/>
          <w:szCs w:val="24"/>
          <w:lang w:val="en-GB"/>
        </w:rPr>
        <w:t>Luxembourg</w:t>
      </w:r>
      <w:r w:rsidR="00007928">
        <w:rPr>
          <w:rFonts w:ascii="Times New Roman" w:hAnsi="Times New Roman" w:cs="Times New Roman"/>
          <w:sz w:val="24"/>
          <w:szCs w:val="24"/>
          <w:lang w:val="en-GB"/>
        </w:rPr>
        <w:t>’</w:t>
      </w:r>
      <w:r w:rsidR="009646A2">
        <w:rPr>
          <w:rFonts w:ascii="Times New Roman" w:hAnsi="Times New Roman" w:cs="Times New Roman"/>
          <w:sz w:val="24"/>
          <w:szCs w:val="24"/>
          <w:lang w:val="en-GB"/>
        </w:rPr>
        <w:t xml:space="preserve"> and </w:t>
      </w:r>
      <w:r w:rsidR="00007928">
        <w:rPr>
          <w:rFonts w:ascii="Times New Roman" w:hAnsi="Times New Roman" w:cs="Times New Roman"/>
          <w:sz w:val="24"/>
          <w:szCs w:val="24"/>
          <w:lang w:val="en-GB"/>
        </w:rPr>
        <w:t>‘</w:t>
      </w:r>
      <w:r w:rsidR="009646A2">
        <w:rPr>
          <w:rFonts w:ascii="Times New Roman" w:hAnsi="Times New Roman" w:cs="Times New Roman"/>
          <w:sz w:val="24"/>
          <w:szCs w:val="24"/>
          <w:lang w:val="en-GB"/>
        </w:rPr>
        <w:t>Strasbourg</w:t>
      </w:r>
      <w:r w:rsidR="00007928">
        <w:rPr>
          <w:rFonts w:ascii="Times New Roman" w:hAnsi="Times New Roman" w:cs="Times New Roman"/>
          <w:sz w:val="24"/>
          <w:szCs w:val="24"/>
          <w:lang w:val="en-GB"/>
        </w:rPr>
        <w:t>’</w:t>
      </w:r>
      <w:r w:rsidR="009646A2">
        <w:rPr>
          <w:rFonts w:ascii="Times New Roman" w:hAnsi="Times New Roman" w:cs="Times New Roman"/>
          <w:sz w:val="24"/>
          <w:szCs w:val="24"/>
          <w:lang w:val="en-GB"/>
        </w:rPr>
        <w:t xml:space="preserve"> engage with each other’s case law and influence each other o</w:t>
      </w:r>
      <w:r w:rsidR="00DF3FAC">
        <w:rPr>
          <w:rFonts w:ascii="Times New Roman" w:hAnsi="Times New Roman" w:cs="Times New Roman"/>
          <w:sz w:val="24"/>
          <w:szCs w:val="24"/>
          <w:lang w:val="en-GB"/>
        </w:rPr>
        <w:t>n a variety of topics such as</w:t>
      </w:r>
      <w:r w:rsidR="005A4D5C">
        <w:rPr>
          <w:rFonts w:ascii="Times New Roman" w:hAnsi="Times New Roman" w:cs="Times New Roman"/>
          <w:sz w:val="24"/>
          <w:szCs w:val="24"/>
          <w:lang w:val="en-GB"/>
        </w:rPr>
        <w:t xml:space="preserve"> </w:t>
      </w:r>
      <w:r w:rsidR="005A4D5C">
        <w:rPr>
          <w:rFonts w:ascii="Times New Roman" w:hAnsi="Times New Roman" w:cs="Times New Roman"/>
          <w:i/>
          <w:sz w:val="24"/>
          <w:szCs w:val="24"/>
          <w:lang w:val="en-GB"/>
        </w:rPr>
        <w:t xml:space="preserve">non </w:t>
      </w:r>
      <w:proofErr w:type="spellStart"/>
      <w:r w:rsidR="005A4D5C">
        <w:rPr>
          <w:rFonts w:ascii="Times New Roman" w:hAnsi="Times New Roman" w:cs="Times New Roman"/>
          <w:i/>
          <w:sz w:val="24"/>
          <w:szCs w:val="24"/>
          <w:lang w:val="en-GB"/>
        </w:rPr>
        <w:t>refoulement</w:t>
      </w:r>
      <w:proofErr w:type="spellEnd"/>
      <w:r w:rsidR="00DF3FAC">
        <w:rPr>
          <w:rFonts w:ascii="Times New Roman" w:hAnsi="Times New Roman" w:cs="Times New Roman"/>
          <w:sz w:val="24"/>
          <w:szCs w:val="24"/>
          <w:lang w:val="en-GB"/>
        </w:rPr>
        <w:t>,</w:t>
      </w:r>
      <w:r w:rsidR="005A4D5C">
        <w:rPr>
          <w:rStyle w:val="Voetnootmarkering"/>
          <w:rFonts w:ascii="Times New Roman" w:hAnsi="Times New Roman" w:cs="Times New Roman"/>
          <w:sz w:val="24"/>
          <w:szCs w:val="24"/>
          <w:lang w:val="en-GB"/>
        </w:rPr>
        <w:footnoteReference w:id="2"/>
      </w:r>
      <w:r w:rsidR="00DF3FAC">
        <w:rPr>
          <w:rFonts w:ascii="Times New Roman" w:hAnsi="Times New Roman" w:cs="Times New Roman"/>
          <w:sz w:val="24"/>
          <w:szCs w:val="24"/>
          <w:lang w:val="en-GB"/>
        </w:rPr>
        <w:t xml:space="preserve"> </w:t>
      </w:r>
      <w:r w:rsidR="00B70344">
        <w:rPr>
          <w:rFonts w:ascii="Times New Roman" w:hAnsi="Times New Roman" w:cs="Times New Roman"/>
          <w:sz w:val="24"/>
          <w:szCs w:val="24"/>
          <w:lang w:val="en-GB"/>
        </w:rPr>
        <w:t xml:space="preserve">the principle of </w:t>
      </w:r>
      <w:r w:rsidR="00B70344">
        <w:rPr>
          <w:rFonts w:ascii="Times New Roman" w:hAnsi="Times New Roman" w:cs="Times New Roman"/>
          <w:i/>
          <w:sz w:val="24"/>
          <w:szCs w:val="24"/>
          <w:lang w:val="en-GB"/>
        </w:rPr>
        <w:t xml:space="preserve">ne </w:t>
      </w:r>
      <w:proofErr w:type="spellStart"/>
      <w:r w:rsidR="00B70344">
        <w:rPr>
          <w:rFonts w:ascii="Times New Roman" w:hAnsi="Times New Roman" w:cs="Times New Roman"/>
          <w:i/>
          <w:sz w:val="24"/>
          <w:szCs w:val="24"/>
          <w:lang w:val="en-GB"/>
        </w:rPr>
        <w:t>bis</w:t>
      </w:r>
      <w:proofErr w:type="spellEnd"/>
      <w:r w:rsidR="00B70344">
        <w:rPr>
          <w:rFonts w:ascii="Times New Roman" w:hAnsi="Times New Roman" w:cs="Times New Roman"/>
          <w:i/>
          <w:sz w:val="24"/>
          <w:szCs w:val="24"/>
          <w:lang w:val="en-GB"/>
        </w:rPr>
        <w:t xml:space="preserve"> in idem </w:t>
      </w:r>
      <w:r w:rsidR="00B70344">
        <w:rPr>
          <w:rFonts w:ascii="Times New Roman" w:hAnsi="Times New Roman" w:cs="Times New Roman"/>
          <w:sz w:val="24"/>
          <w:szCs w:val="24"/>
          <w:lang w:val="en-GB"/>
        </w:rPr>
        <w:t>for tax offences</w:t>
      </w:r>
      <w:r w:rsidR="00DF3FAC">
        <w:rPr>
          <w:rFonts w:ascii="Times New Roman" w:hAnsi="Times New Roman" w:cs="Times New Roman"/>
          <w:sz w:val="24"/>
          <w:szCs w:val="24"/>
          <w:lang w:val="en-GB"/>
        </w:rPr>
        <w:t>,</w:t>
      </w:r>
      <w:r w:rsidR="00B70344">
        <w:rPr>
          <w:rStyle w:val="Voetnootmarkering"/>
          <w:rFonts w:ascii="Times New Roman" w:hAnsi="Times New Roman" w:cs="Times New Roman"/>
          <w:sz w:val="24"/>
          <w:szCs w:val="24"/>
          <w:lang w:val="en-GB"/>
        </w:rPr>
        <w:footnoteReference w:id="3"/>
      </w:r>
      <w:r w:rsidR="00DF3FAC">
        <w:rPr>
          <w:rFonts w:ascii="Times New Roman" w:hAnsi="Times New Roman" w:cs="Times New Roman"/>
          <w:sz w:val="24"/>
          <w:szCs w:val="24"/>
          <w:lang w:val="en-GB"/>
        </w:rPr>
        <w:t xml:space="preserve"> or the general relationship between the two Courts.</w:t>
      </w:r>
      <w:r w:rsidR="00DF3FAC">
        <w:rPr>
          <w:rStyle w:val="Voetnootmarkering"/>
          <w:rFonts w:ascii="Times New Roman" w:hAnsi="Times New Roman" w:cs="Times New Roman"/>
          <w:sz w:val="24"/>
          <w:szCs w:val="24"/>
          <w:lang w:val="en-GB"/>
        </w:rPr>
        <w:footnoteReference w:id="4"/>
      </w:r>
      <w:r w:rsidR="00DF3FAC">
        <w:rPr>
          <w:rFonts w:ascii="Times New Roman" w:hAnsi="Times New Roman" w:cs="Times New Roman"/>
          <w:sz w:val="24"/>
          <w:szCs w:val="24"/>
          <w:lang w:val="en-GB"/>
        </w:rPr>
        <w:t xml:space="preserve"> </w:t>
      </w:r>
      <w:r w:rsidR="00B27EAD">
        <w:rPr>
          <w:rFonts w:ascii="Times New Roman" w:hAnsi="Times New Roman" w:cs="Times New Roman"/>
          <w:sz w:val="24"/>
          <w:szCs w:val="24"/>
          <w:lang w:val="en-GB"/>
        </w:rPr>
        <w:t>Much less common are the instances where the General Court is part of the conversation and t</w:t>
      </w:r>
      <w:r w:rsidR="001A2BDB">
        <w:rPr>
          <w:rFonts w:ascii="Times New Roman" w:hAnsi="Times New Roman" w:cs="Times New Roman"/>
          <w:sz w:val="24"/>
          <w:szCs w:val="24"/>
          <w:lang w:val="en-GB"/>
        </w:rPr>
        <w:t>he dialogue becomes a trialogue, as is the</w:t>
      </w:r>
      <w:r w:rsidR="00B27EAD">
        <w:rPr>
          <w:rFonts w:ascii="Times New Roman" w:hAnsi="Times New Roman" w:cs="Times New Roman"/>
          <w:sz w:val="24"/>
          <w:szCs w:val="24"/>
          <w:lang w:val="en-GB"/>
        </w:rPr>
        <w:t xml:space="preserve"> case </w:t>
      </w:r>
      <w:r w:rsidR="001A2BDB">
        <w:rPr>
          <w:rFonts w:ascii="Times New Roman" w:hAnsi="Times New Roman" w:cs="Times New Roman"/>
          <w:sz w:val="24"/>
          <w:szCs w:val="24"/>
          <w:lang w:val="en-GB"/>
        </w:rPr>
        <w:t xml:space="preserve">in the judgment </w:t>
      </w:r>
      <w:r w:rsidR="00B27EAD">
        <w:rPr>
          <w:rFonts w:ascii="Times New Roman" w:hAnsi="Times New Roman" w:cs="Times New Roman"/>
          <w:sz w:val="24"/>
          <w:szCs w:val="24"/>
          <w:lang w:val="en-GB"/>
        </w:rPr>
        <w:t>that is annotated here.</w:t>
      </w:r>
      <w:r w:rsidR="00007928">
        <w:rPr>
          <w:rStyle w:val="Voetnootmarkering"/>
          <w:rFonts w:ascii="Times New Roman" w:hAnsi="Times New Roman" w:cs="Times New Roman"/>
          <w:sz w:val="24"/>
          <w:szCs w:val="24"/>
          <w:lang w:val="en-GB"/>
        </w:rPr>
        <w:footnoteReference w:id="5"/>
      </w:r>
      <w:r w:rsidR="00B27EAD">
        <w:rPr>
          <w:rFonts w:ascii="Times New Roman" w:hAnsi="Times New Roman" w:cs="Times New Roman"/>
          <w:sz w:val="24"/>
          <w:szCs w:val="24"/>
          <w:lang w:val="en-GB"/>
        </w:rPr>
        <w:t xml:space="preserve"> In the last two years, the General Court, the European Court of Human Rights </w:t>
      </w:r>
      <w:r w:rsidR="001A2BDB">
        <w:rPr>
          <w:rFonts w:ascii="Times New Roman" w:hAnsi="Times New Roman" w:cs="Times New Roman"/>
          <w:sz w:val="24"/>
          <w:szCs w:val="24"/>
          <w:lang w:val="en-GB"/>
        </w:rPr>
        <w:t xml:space="preserve">and the European Court of Justice </w:t>
      </w:r>
      <w:r w:rsidR="00B27EAD">
        <w:rPr>
          <w:rFonts w:ascii="Times New Roman" w:hAnsi="Times New Roman" w:cs="Times New Roman"/>
          <w:sz w:val="24"/>
          <w:szCs w:val="24"/>
          <w:lang w:val="en-GB"/>
        </w:rPr>
        <w:t>h</w:t>
      </w:r>
      <w:r w:rsidR="00660CC1">
        <w:rPr>
          <w:rFonts w:ascii="Times New Roman" w:hAnsi="Times New Roman" w:cs="Times New Roman"/>
          <w:sz w:val="24"/>
          <w:szCs w:val="24"/>
          <w:lang w:val="en-GB"/>
        </w:rPr>
        <w:t xml:space="preserve">ave all expressed their </w:t>
      </w:r>
      <w:r w:rsidR="00660CC1" w:rsidRPr="0006550F">
        <w:rPr>
          <w:rFonts w:ascii="Times New Roman" w:hAnsi="Times New Roman" w:cs="Times New Roman"/>
          <w:sz w:val="24"/>
          <w:szCs w:val="24"/>
          <w:lang w:val="en-GB"/>
        </w:rPr>
        <w:t>opinion –</w:t>
      </w:r>
      <w:r w:rsidR="001A2BDB" w:rsidRPr="0006550F">
        <w:rPr>
          <w:rFonts w:ascii="Times New Roman" w:hAnsi="Times New Roman" w:cs="Times New Roman"/>
          <w:sz w:val="24"/>
          <w:szCs w:val="24"/>
          <w:lang w:val="en-GB"/>
        </w:rPr>
        <w:t xml:space="preserve"> while referring</w:t>
      </w:r>
      <w:r w:rsidR="00B27EAD" w:rsidRPr="0006550F">
        <w:rPr>
          <w:rFonts w:ascii="Times New Roman" w:hAnsi="Times New Roman" w:cs="Times New Roman"/>
          <w:sz w:val="24"/>
          <w:szCs w:val="24"/>
          <w:lang w:val="en-GB"/>
        </w:rPr>
        <w:t xml:space="preserve"> to each other’s case law</w:t>
      </w:r>
      <w:r w:rsidR="00660CC1" w:rsidRPr="0006550F">
        <w:rPr>
          <w:rFonts w:ascii="Times New Roman" w:hAnsi="Times New Roman" w:cs="Times New Roman"/>
          <w:sz w:val="24"/>
          <w:szCs w:val="24"/>
          <w:lang w:val="en-GB"/>
        </w:rPr>
        <w:t xml:space="preserve"> –</w:t>
      </w:r>
      <w:r w:rsidR="00B27EAD" w:rsidRPr="0006550F">
        <w:rPr>
          <w:rFonts w:ascii="Times New Roman" w:hAnsi="Times New Roman" w:cs="Times New Roman"/>
          <w:sz w:val="24"/>
          <w:szCs w:val="24"/>
          <w:lang w:val="en-GB"/>
        </w:rPr>
        <w:t xml:space="preserve"> </w:t>
      </w:r>
      <w:r w:rsidR="001A2BDB" w:rsidRPr="0006550F">
        <w:rPr>
          <w:rFonts w:ascii="Times New Roman" w:hAnsi="Times New Roman" w:cs="Times New Roman"/>
          <w:sz w:val="24"/>
          <w:szCs w:val="24"/>
          <w:lang w:val="en-GB"/>
        </w:rPr>
        <w:t>on the same fundamental question: is a tribunal still established by law when the appointment</w:t>
      </w:r>
      <w:r w:rsidR="001A2BDB">
        <w:rPr>
          <w:rFonts w:ascii="Times New Roman" w:hAnsi="Times New Roman" w:cs="Times New Roman"/>
          <w:sz w:val="24"/>
          <w:szCs w:val="24"/>
          <w:lang w:val="en-GB"/>
        </w:rPr>
        <w:t xml:space="preserve"> procedure of one of its </w:t>
      </w:r>
      <w:r w:rsidR="00F31E3D">
        <w:rPr>
          <w:rFonts w:ascii="Times New Roman" w:hAnsi="Times New Roman" w:cs="Times New Roman"/>
          <w:sz w:val="24"/>
          <w:szCs w:val="24"/>
          <w:lang w:val="en-GB"/>
        </w:rPr>
        <w:t>judges</w:t>
      </w:r>
      <w:r w:rsidR="001A2BDB">
        <w:rPr>
          <w:rFonts w:ascii="Times New Roman" w:hAnsi="Times New Roman" w:cs="Times New Roman"/>
          <w:sz w:val="24"/>
          <w:szCs w:val="24"/>
          <w:lang w:val="en-GB"/>
        </w:rPr>
        <w:t xml:space="preserve"> has proven to be irregular?</w:t>
      </w:r>
    </w:p>
    <w:p w14:paraId="232F0F0D" w14:textId="019B2B0F" w:rsidR="0041389A" w:rsidRDefault="001A2BDB"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joined cases of </w:t>
      </w:r>
      <w:r w:rsidR="00E324B4">
        <w:rPr>
          <w:rFonts w:ascii="Times New Roman" w:hAnsi="Times New Roman" w:cs="Times New Roman"/>
          <w:i/>
          <w:sz w:val="24"/>
          <w:szCs w:val="24"/>
          <w:lang w:val="en-GB"/>
        </w:rPr>
        <w:t>Review</w:t>
      </w:r>
      <w:r w:rsidR="00303D05">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Simpson </w:t>
      </w:r>
      <w:r w:rsidRPr="004E720B">
        <w:rPr>
          <w:rFonts w:ascii="Times New Roman" w:hAnsi="Times New Roman" w:cs="Times New Roman"/>
          <w:sz w:val="24"/>
          <w:szCs w:val="24"/>
          <w:lang w:val="en-GB"/>
        </w:rPr>
        <w:t>v</w:t>
      </w:r>
      <w:r w:rsidR="004E720B">
        <w:rPr>
          <w:rFonts w:ascii="Times New Roman" w:hAnsi="Times New Roman" w:cs="Times New Roman"/>
          <w:sz w:val="24"/>
          <w:szCs w:val="24"/>
          <w:lang w:val="en-GB"/>
        </w:rPr>
        <w:t>.</w:t>
      </w:r>
      <w:r>
        <w:rPr>
          <w:rFonts w:ascii="Times New Roman" w:hAnsi="Times New Roman" w:cs="Times New Roman"/>
          <w:i/>
          <w:sz w:val="24"/>
          <w:szCs w:val="24"/>
          <w:lang w:val="en-GB"/>
        </w:rPr>
        <w:t xml:space="preserve"> Council </w:t>
      </w:r>
      <w:r>
        <w:rPr>
          <w:rFonts w:ascii="Times New Roman" w:hAnsi="Times New Roman" w:cs="Times New Roman"/>
          <w:sz w:val="24"/>
          <w:szCs w:val="24"/>
          <w:lang w:val="en-GB"/>
        </w:rPr>
        <w:t xml:space="preserve">and </w:t>
      </w:r>
      <w:r w:rsidR="00E324B4">
        <w:rPr>
          <w:rFonts w:ascii="Times New Roman" w:hAnsi="Times New Roman" w:cs="Times New Roman"/>
          <w:i/>
          <w:sz w:val="24"/>
          <w:szCs w:val="24"/>
          <w:lang w:val="en-GB"/>
        </w:rPr>
        <w:t>Review</w:t>
      </w:r>
      <w:r w:rsidR="00303D05">
        <w:rPr>
          <w:rFonts w:ascii="Times New Roman" w:hAnsi="Times New Roman" w:cs="Times New Roman"/>
          <w:i/>
          <w:sz w:val="24"/>
          <w:szCs w:val="24"/>
          <w:lang w:val="en-GB"/>
        </w:rPr>
        <w:t xml:space="preserve"> </w:t>
      </w:r>
      <w:r>
        <w:rPr>
          <w:rFonts w:ascii="Times New Roman" w:hAnsi="Times New Roman" w:cs="Times New Roman"/>
          <w:i/>
          <w:sz w:val="24"/>
          <w:szCs w:val="24"/>
          <w:lang w:val="en-GB"/>
        </w:rPr>
        <w:t>HG</w:t>
      </w:r>
      <w:r>
        <w:rPr>
          <w:rFonts w:ascii="Times New Roman" w:hAnsi="Times New Roman" w:cs="Times New Roman"/>
          <w:sz w:val="24"/>
          <w:szCs w:val="24"/>
          <w:lang w:val="en-GB"/>
        </w:rPr>
        <w:t xml:space="preserve"> </w:t>
      </w:r>
      <w:r w:rsidRPr="004E720B">
        <w:rPr>
          <w:rFonts w:ascii="Times New Roman" w:hAnsi="Times New Roman" w:cs="Times New Roman"/>
          <w:sz w:val="24"/>
          <w:szCs w:val="24"/>
          <w:lang w:val="en-GB"/>
        </w:rPr>
        <w:t>v</w:t>
      </w:r>
      <w:r w:rsidR="004E720B">
        <w:rPr>
          <w:rFonts w:ascii="Times New Roman" w:hAnsi="Times New Roman" w:cs="Times New Roman"/>
          <w:sz w:val="24"/>
          <w:szCs w:val="24"/>
          <w:lang w:val="en-GB"/>
        </w:rPr>
        <w:t>.</w:t>
      </w:r>
      <w:r>
        <w:rPr>
          <w:rFonts w:ascii="Times New Roman" w:hAnsi="Times New Roman" w:cs="Times New Roman"/>
          <w:i/>
          <w:sz w:val="24"/>
          <w:szCs w:val="24"/>
          <w:lang w:val="en-GB"/>
        </w:rPr>
        <w:t xml:space="preserve"> Commission</w:t>
      </w:r>
      <w:r w:rsidR="00E324B4">
        <w:rPr>
          <w:rFonts w:ascii="Times New Roman" w:hAnsi="Times New Roman" w:cs="Times New Roman"/>
          <w:i/>
          <w:sz w:val="24"/>
          <w:szCs w:val="24"/>
          <w:lang w:val="en-GB"/>
        </w:rPr>
        <w:t xml:space="preserve"> </w:t>
      </w:r>
      <w:r w:rsidR="00E324B4">
        <w:rPr>
          <w:rFonts w:ascii="Times New Roman" w:hAnsi="Times New Roman" w:cs="Times New Roman"/>
          <w:sz w:val="24"/>
          <w:szCs w:val="24"/>
          <w:lang w:val="en-GB"/>
        </w:rPr>
        <w:t xml:space="preserve">(hereafter: </w:t>
      </w:r>
      <w:r w:rsidR="00E324B4">
        <w:rPr>
          <w:rFonts w:ascii="Times New Roman" w:hAnsi="Times New Roman" w:cs="Times New Roman"/>
          <w:i/>
          <w:sz w:val="24"/>
          <w:szCs w:val="24"/>
          <w:lang w:val="en-GB"/>
        </w:rPr>
        <w:t>Review Simpson</w:t>
      </w:r>
      <w:r w:rsidR="00E324B4">
        <w:rPr>
          <w:rFonts w:ascii="Times New Roman" w:hAnsi="Times New Roman" w:cs="Times New Roman"/>
          <w:sz w:val="24"/>
          <w:szCs w:val="24"/>
          <w:lang w:val="en-GB"/>
        </w:rPr>
        <w:t>)</w:t>
      </w:r>
      <w:r>
        <w:rPr>
          <w:rFonts w:ascii="Times New Roman" w:hAnsi="Times New Roman" w:cs="Times New Roman"/>
          <w:sz w:val="24"/>
          <w:szCs w:val="24"/>
          <w:lang w:val="en-GB"/>
        </w:rPr>
        <w:t xml:space="preserve">, the ECJ had to </w:t>
      </w:r>
      <w:r w:rsidR="00303D05">
        <w:rPr>
          <w:rFonts w:ascii="Times New Roman" w:hAnsi="Times New Roman" w:cs="Times New Roman"/>
          <w:sz w:val="24"/>
          <w:szCs w:val="24"/>
          <w:lang w:val="en-GB"/>
        </w:rPr>
        <w:t>rule</w:t>
      </w:r>
      <w:r>
        <w:rPr>
          <w:rFonts w:ascii="Times New Roman" w:hAnsi="Times New Roman" w:cs="Times New Roman"/>
          <w:sz w:val="24"/>
          <w:szCs w:val="24"/>
          <w:lang w:val="en-GB"/>
        </w:rPr>
        <w:t xml:space="preserve"> on review proceedings concerning </w:t>
      </w:r>
      <w:r w:rsidR="001B4EFB">
        <w:rPr>
          <w:rFonts w:ascii="Times New Roman" w:hAnsi="Times New Roman" w:cs="Times New Roman"/>
          <w:sz w:val="24"/>
          <w:szCs w:val="24"/>
          <w:lang w:val="en-GB"/>
        </w:rPr>
        <w:t>two</w:t>
      </w:r>
      <w:r>
        <w:rPr>
          <w:rFonts w:ascii="Times New Roman" w:hAnsi="Times New Roman" w:cs="Times New Roman"/>
          <w:sz w:val="24"/>
          <w:szCs w:val="24"/>
          <w:lang w:val="en-GB"/>
        </w:rPr>
        <w:t xml:space="preserve"> judgment</w:t>
      </w:r>
      <w:r w:rsidR="001B4EFB">
        <w:rPr>
          <w:rFonts w:ascii="Times New Roman" w:hAnsi="Times New Roman" w:cs="Times New Roman"/>
          <w:sz w:val="24"/>
          <w:szCs w:val="24"/>
          <w:lang w:val="en-GB"/>
        </w:rPr>
        <w:t>s</w:t>
      </w:r>
      <w:r>
        <w:rPr>
          <w:rFonts w:ascii="Times New Roman" w:hAnsi="Times New Roman" w:cs="Times New Roman"/>
          <w:sz w:val="24"/>
          <w:szCs w:val="24"/>
          <w:lang w:val="en-GB"/>
        </w:rPr>
        <w:t xml:space="preserve"> of the General Court, in which it had </w:t>
      </w:r>
      <w:r w:rsidR="00303D05">
        <w:rPr>
          <w:rFonts w:ascii="Times New Roman" w:hAnsi="Times New Roman" w:cs="Times New Roman"/>
          <w:sz w:val="24"/>
          <w:szCs w:val="24"/>
          <w:lang w:val="en-GB"/>
        </w:rPr>
        <w:t xml:space="preserve">set aside the decisions </w:t>
      </w:r>
      <w:r w:rsidR="0041389A">
        <w:rPr>
          <w:rFonts w:ascii="Times New Roman" w:hAnsi="Times New Roman" w:cs="Times New Roman"/>
          <w:sz w:val="24"/>
          <w:szCs w:val="24"/>
          <w:lang w:val="en-GB"/>
        </w:rPr>
        <w:t>of the second chamber of the Civil Service Tribunal</w:t>
      </w:r>
      <w:r w:rsidR="00E324B4">
        <w:rPr>
          <w:rFonts w:ascii="Times New Roman" w:hAnsi="Times New Roman" w:cs="Times New Roman"/>
          <w:sz w:val="24"/>
          <w:szCs w:val="24"/>
          <w:lang w:val="en-GB"/>
        </w:rPr>
        <w:t xml:space="preserve"> (hereafter: CST)</w:t>
      </w:r>
      <w:r w:rsidR="0041389A">
        <w:rPr>
          <w:rFonts w:ascii="Times New Roman" w:hAnsi="Times New Roman" w:cs="Times New Roman"/>
          <w:sz w:val="24"/>
          <w:szCs w:val="24"/>
          <w:lang w:val="en-GB"/>
        </w:rPr>
        <w:t xml:space="preserve">. The </w:t>
      </w:r>
      <w:r w:rsidR="006E08A0">
        <w:rPr>
          <w:rFonts w:ascii="Times New Roman" w:hAnsi="Times New Roman" w:cs="Times New Roman"/>
          <w:sz w:val="24"/>
          <w:szCs w:val="24"/>
          <w:lang w:val="en-GB"/>
        </w:rPr>
        <w:t>GC</w:t>
      </w:r>
      <w:r w:rsidR="0041389A">
        <w:rPr>
          <w:rFonts w:ascii="Times New Roman" w:hAnsi="Times New Roman" w:cs="Times New Roman"/>
          <w:sz w:val="24"/>
          <w:szCs w:val="24"/>
          <w:lang w:val="en-GB"/>
        </w:rPr>
        <w:t xml:space="preserve"> had done so, because it had decided that that chamber</w:t>
      </w:r>
      <w:r w:rsidR="00E324B4">
        <w:rPr>
          <w:rFonts w:ascii="Times New Roman" w:hAnsi="Times New Roman" w:cs="Times New Roman"/>
          <w:sz w:val="24"/>
          <w:szCs w:val="24"/>
          <w:lang w:val="en-GB"/>
        </w:rPr>
        <w:t xml:space="preserve"> of the CST</w:t>
      </w:r>
      <w:r w:rsidR="0041389A">
        <w:rPr>
          <w:rFonts w:ascii="Times New Roman" w:hAnsi="Times New Roman" w:cs="Times New Roman"/>
          <w:sz w:val="24"/>
          <w:szCs w:val="24"/>
          <w:lang w:val="en-GB"/>
        </w:rPr>
        <w:t xml:space="preserve"> </w:t>
      </w:r>
      <w:r w:rsidR="001B4EFB">
        <w:rPr>
          <w:rFonts w:ascii="Times New Roman" w:hAnsi="Times New Roman" w:cs="Times New Roman"/>
          <w:sz w:val="24"/>
          <w:szCs w:val="24"/>
          <w:lang w:val="en-GB"/>
        </w:rPr>
        <w:t xml:space="preserve">could not be seen as a tribunal established by law, since the appointment of </w:t>
      </w:r>
      <w:r w:rsidR="00AA5646">
        <w:rPr>
          <w:rFonts w:ascii="Times New Roman" w:hAnsi="Times New Roman" w:cs="Times New Roman"/>
          <w:sz w:val="24"/>
          <w:szCs w:val="24"/>
          <w:lang w:val="en-GB"/>
        </w:rPr>
        <w:t>two</w:t>
      </w:r>
      <w:r w:rsidR="001B4EFB">
        <w:rPr>
          <w:rFonts w:ascii="Times New Roman" w:hAnsi="Times New Roman" w:cs="Times New Roman"/>
          <w:sz w:val="24"/>
          <w:szCs w:val="24"/>
          <w:lang w:val="en-GB"/>
        </w:rPr>
        <w:t xml:space="preserve"> of its members had </w:t>
      </w:r>
      <w:r w:rsidR="001B4EFB" w:rsidRPr="00DF63A4">
        <w:rPr>
          <w:rFonts w:ascii="Times New Roman" w:hAnsi="Times New Roman" w:cs="Times New Roman"/>
          <w:sz w:val="24"/>
          <w:szCs w:val="24"/>
          <w:lang w:val="en-GB"/>
        </w:rPr>
        <w:t xml:space="preserve">occurred </w:t>
      </w:r>
      <w:r w:rsidR="006E05A1" w:rsidRPr="00DF63A4">
        <w:rPr>
          <w:rFonts w:ascii="Times New Roman" w:hAnsi="Times New Roman" w:cs="Times New Roman"/>
          <w:sz w:val="24"/>
          <w:szCs w:val="24"/>
          <w:lang w:val="en-GB"/>
        </w:rPr>
        <w:t>in violation of the</w:t>
      </w:r>
      <w:r w:rsidR="001B4EFB" w:rsidRPr="00DF63A4">
        <w:rPr>
          <w:rFonts w:ascii="Times New Roman" w:hAnsi="Times New Roman" w:cs="Times New Roman"/>
          <w:sz w:val="24"/>
          <w:szCs w:val="24"/>
          <w:lang w:val="en-GB"/>
        </w:rPr>
        <w:t xml:space="preserve"> procedu</w:t>
      </w:r>
      <w:r w:rsidR="006E05A1" w:rsidRPr="00DF63A4">
        <w:rPr>
          <w:rFonts w:ascii="Times New Roman" w:hAnsi="Times New Roman" w:cs="Times New Roman"/>
          <w:sz w:val="24"/>
          <w:szCs w:val="24"/>
          <w:lang w:val="en-GB"/>
        </w:rPr>
        <w:t>ral rules</w:t>
      </w:r>
      <w:r w:rsidR="001B4EFB" w:rsidRPr="00DF63A4">
        <w:rPr>
          <w:rFonts w:ascii="Times New Roman" w:hAnsi="Times New Roman" w:cs="Times New Roman"/>
          <w:sz w:val="24"/>
          <w:szCs w:val="24"/>
          <w:lang w:val="en-GB"/>
        </w:rPr>
        <w:t>.</w:t>
      </w:r>
      <w:r w:rsidR="00303D05" w:rsidRPr="00DF63A4">
        <w:rPr>
          <w:rFonts w:ascii="Times New Roman" w:hAnsi="Times New Roman" w:cs="Times New Roman"/>
          <w:sz w:val="24"/>
          <w:szCs w:val="24"/>
          <w:lang w:val="en-GB"/>
        </w:rPr>
        <w:t xml:space="preserve"> In its judgment, the ECJ ruled that</w:t>
      </w:r>
      <w:r w:rsidR="0041389A" w:rsidRPr="00DF63A4">
        <w:rPr>
          <w:rFonts w:ascii="Times New Roman" w:hAnsi="Times New Roman" w:cs="Times New Roman"/>
          <w:sz w:val="24"/>
          <w:szCs w:val="24"/>
          <w:lang w:val="en-GB"/>
        </w:rPr>
        <w:t xml:space="preserve">, while the appointment procedure had indeed been tainted by procedural irregularities, the General Court had erred in law by setting aside the decision of the CST solely on the basis of the irregularities in question. </w:t>
      </w:r>
      <w:r w:rsidR="00660CC1" w:rsidRPr="00DF63A4">
        <w:rPr>
          <w:rFonts w:ascii="Times New Roman" w:hAnsi="Times New Roman" w:cs="Times New Roman"/>
          <w:sz w:val="24"/>
          <w:szCs w:val="24"/>
          <w:lang w:val="en-GB"/>
        </w:rPr>
        <w:t xml:space="preserve">It did not, however, </w:t>
      </w:r>
      <w:r w:rsidR="00DF63A4" w:rsidRPr="00DF63A4">
        <w:rPr>
          <w:rFonts w:ascii="Times New Roman" w:hAnsi="Times New Roman" w:cs="Times New Roman"/>
          <w:sz w:val="24"/>
          <w:szCs w:val="24"/>
          <w:lang w:val="en-GB"/>
        </w:rPr>
        <w:t xml:space="preserve">disagree with the General Court’s basic premise that the regularity of judicial appointment proceedings </w:t>
      </w:r>
      <w:r w:rsidR="00DF63A4">
        <w:rPr>
          <w:rFonts w:ascii="Times New Roman" w:hAnsi="Times New Roman" w:cs="Times New Roman"/>
          <w:sz w:val="24"/>
          <w:szCs w:val="24"/>
          <w:lang w:val="en-GB"/>
        </w:rPr>
        <w:t>falls within the scope</w:t>
      </w:r>
      <w:r w:rsidR="00DF63A4" w:rsidRPr="00DF63A4">
        <w:rPr>
          <w:rFonts w:ascii="Times New Roman" w:hAnsi="Times New Roman" w:cs="Times New Roman"/>
          <w:sz w:val="24"/>
          <w:szCs w:val="24"/>
          <w:lang w:val="en-GB"/>
        </w:rPr>
        <w:t xml:space="preserve"> of the right to a tribunal established by law</w:t>
      </w:r>
      <w:r w:rsidR="00660CC1" w:rsidRPr="00DF63A4">
        <w:rPr>
          <w:rFonts w:ascii="Times New Roman" w:hAnsi="Times New Roman" w:cs="Times New Roman"/>
          <w:sz w:val="24"/>
          <w:szCs w:val="24"/>
          <w:lang w:val="en-GB"/>
        </w:rPr>
        <w:t>.</w:t>
      </w:r>
    </w:p>
    <w:p w14:paraId="5F612F60" w14:textId="4C8FDEA9" w:rsidR="0041389A" w:rsidRDefault="0041389A"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While the judgment of the ECJ is situated </w:t>
      </w:r>
      <w:r w:rsidR="00007928">
        <w:rPr>
          <w:rFonts w:ascii="Times New Roman" w:hAnsi="Times New Roman" w:cs="Times New Roman"/>
          <w:sz w:val="24"/>
          <w:szCs w:val="24"/>
          <w:lang w:val="en-GB"/>
        </w:rPr>
        <w:t>at</w:t>
      </w:r>
      <w:r>
        <w:rPr>
          <w:rFonts w:ascii="Times New Roman" w:hAnsi="Times New Roman" w:cs="Times New Roman"/>
          <w:sz w:val="24"/>
          <w:szCs w:val="24"/>
          <w:lang w:val="en-GB"/>
        </w:rPr>
        <w:t xml:space="preserve"> the level of the European Union and its institutions, this case note argues that </w:t>
      </w:r>
      <w:r w:rsidR="000C7604">
        <w:rPr>
          <w:rFonts w:ascii="Times New Roman" w:hAnsi="Times New Roman" w:cs="Times New Roman"/>
          <w:sz w:val="24"/>
          <w:szCs w:val="24"/>
          <w:lang w:val="en-GB"/>
        </w:rPr>
        <w:t>it is of constitutional importance for the Members States as well. B</w:t>
      </w:r>
      <w:r w:rsidR="006E05A1">
        <w:rPr>
          <w:rFonts w:ascii="Times New Roman" w:hAnsi="Times New Roman" w:cs="Times New Roman"/>
          <w:sz w:val="24"/>
          <w:szCs w:val="24"/>
          <w:lang w:val="en-GB"/>
        </w:rPr>
        <w:t>y confirming that the scope of the right to a tribunal established by law, as enshrined in Article 47</w:t>
      </w:r>
      <w:r w:rsidR="00660CC1">
        <w:rPr>
          <w:rFonts w:ascii="Times New Roman" w:hAnsi="Times New Roman" w:cs="Times New Roman"/>
          <w:sz w:val="24"/>
          <w:szCs w:val="24"/>
          <w:lang w:val="en-GB"/>
        </w:rPr>
        <w:t>(2)</w:t>
      </w:r>
      <w:r w:rsidR="006E05A1">
        <w:rPr>
          <w:rFonts w:ascii="Times New Roman" w:hAnsi="Times New Roman" w:cs="Times New Roman"/>
          <w:sz w:val="24"/>
          <w:szCs w:val="24"/>
          <w:lang w:val="en-GB"/>
        </w:rPr>
        <w:t xml:space="preserve"> of the Charter, includes </w:t>
      </w:r>
      <w:r w:rsidR="0006550F">
        <w:rPr>
          <w:rFonts w:ascii="Times New Roman" w:hAnsi="Times New Roman" w:cs="Times New Roman"/>
          <w:sz w:val="24"/>
          <w:szCs w:val="24"/>
          <w:lang w:val="en-GB"/>
        </w:rPr>
        <w:t xml:space="preserve">the </w:t>
      </w:r>
      <w:r w:rsidR="004402FD">
        <w:rPr>
          <w:rFonts w:ascii="Times New Roman" w:hAnsi="Times New Roman" w:cs="Times New Roman"/>
          <w:sz w:val="24"/>
          <w:szCs w:val="24"/>
          <w:lang w:val="en-GB"/>
        </w:rPr>
        <w:t xml:space="preserve">judicial appointment </w:t>
      </w:r>
      <w:r w:rsidR="0006550F">
        <w:rPr>
          <w:rFonts w:ascii="Times New Roman" w:hAnsi="Times New Roman" w:cs="Times New Roman"/>
          <w:sz w:val="24"/>
          <w:szCs w:val="24"/>
          <w:lang w:val="en-GB"/>
        </w:rPr>
        <w:t>proceedings</w:t>
      </w:r>
      <w:r w:rsidR="004402FD">
        <w:rPr>
          <w:rFonts w:ascii="Times New Roman" w:hAnsi="Times New Roman" w:cs="Times New Roman"/>
          <w:sz w:val="24"/>
          <w:szCs w:val="24"/>
          <w:lang w:val="en-GB"/>
        </w:rPr>
        <w:t>, th</w:t>
      </w:r>
      <w:r w:rsidR="006E05A1">
        <w:rPr>
          <w:rFonts w:ascii="Times New Roman" w:hAnsi="Times New Roman" w:cs="Times New Roman"/>
          <w:sz w:val="24"/>
          <w:szCs w:val="24"/>
          <w:lang w:val="en-GB"/>
        </w:rPr>
        <w:t xml:space="preserve">e Court has established a principle that can also be applied </w:t>
      </w:r>
      <w:r w:rsidR="00007928">
        <w:rPr>
          <w:rFonts w:ascii="Times New Roman" w:hAnsi="Times New Roman" w:cs="Times New Roman"/>
          <w:sz w:val="24"/>
          <w:szCs w:val="24"/>
          <w:lang w:val="en-GB"/>
        </w:rPr>
        <w:t>at</w:t>
      </w:r>
      <w:r w:rsidR="006E05A1">
        <w:rPr>
          <w:rFonts w:ascii="Times New Roman" w:hAnsi="Times New Roman" w:cs="Times New Roman"/>
          <w:sz w:val="24"/>
          <w:szCs w:val="24"/>
          <w:lang w:val="en-GB"/>
        </w:rPr>
        <w:t xml:space="preserve"> the national level. </w:t>
      </w:r>
      <w:r w:rsidR="0006550F">
        <w:rPr>
          <w:rFonts w:ascii="Times New Roman" w:hAnsi="Times New Roman" w:cs="Times New Roman"/>
          <w:sz w:val="24"/>
          <w:szCs w:val="24"/>
          <w:lang w:val="en-GB"/>
        </w:rPr>
        <w:t>In this sense,</w:t>
      </w:r>
      <w:r w:rsidR="00007928">
        <w:rPr>
          <w:rFonts w:ascii="Times New Roman" w:hAnsi="Times New Roman" w:cs="Times New Roman"/>
          <w:sz w:val="24"/>
          <w:szCs w:val="24"/>
          <w:lang w:val="en-GB"/>
        </w:rPr>
        <w:t xml:space="preserve"> </w:t>
      </w:r>
      <w:r w:rsidR="0006550F">
        <w:rPr>
          <w:rFonts w:ascii="Times New Roman" w:hAnsi="Times New Roman" w:cs="Times New Roman"/>
          <w:sz w:val="24"/>
          <w:szCs w:val="24"/>
          <w:lang w:val="en-GB"/>
        </w:rPr>
        <w:t>t</w:t>
      </w:r>
      <w:r w:rsidR="006E05A1">
        <w:rPr>
          <w:rFonts w:ascii="Times New Roman" w:hAnsi="Times New Roman" w:cs="Times New Roman"/>
          <w:sz w:val="24"/>
          <w:szCs w:val="24"/>
          <w:lang w:val="en-GB"/>
        </w:rPr>
        <w:t xml:space="preserve">his judgment can be seen as another step by the Court </w:t>
      </w:r>
      <w:r w:rsidR="00E324B4">
        <w:rPr>
          <w:rFonts w:ascii="Times New Roman" w:hAnsi="Times New Roman" w:cs="Times New Roman"/>
          <w:sz w:val="24"/>
          <w:szCs w:val="24"/>
          <w:lang w:val="en-GB"/>
        </w:rPr>
        <w:t xml:space="preserve">in </w:t>
      </w:r>
      <w:r w:rsidR="00007928">
        <w:rPr>
          <w:rFonts w:ascii="Times New Roman" w:hAnsi="Times New Roman" w:cs="Times New Roman"/>
          <w:sz w:val="24"/>
          <w:szCs w:val="24"/>
          <w:lang w:val="en-GB"/>
        </w:rPr>
        <w:t>intensifying</w:t>
      </w:r>
      <w:r w:rsidR="00E3067E">
        <w:rPr>
          <w:rFonts w:ascii="Times New Roman" w:hAnsi="Times New Roman" w:cs="Times New Roman"/>
          <w:sz w:val="24"/>
          <w:szCs w:val="24"/>
          <w:lang w:val="en-GB"/>
        </w:rPr>
        <w:t xml:space="preserve"> its </w:t>
      </w:r>
      <w:r w:rsidR="00007928">
        <w:rPr>
          <w:rFonts w:ascii="Times New Roman" w:hAnsi="Times New Roman" w:cs="Times New Roman"/>
          <w:sz w:val="24"/>
          <w:szCs w:val="24"/>
          <w:lang w:val="en-GB"/>
        </w:rPr>
        <w:t xml:space="preserve">supervision </w:t>
      </w:r>
      <w:r w:rsidR="00E3067E">
        <w:rPr>
          <w:rFonts w:ascii="Times New Roman" w:hAnsi="Times New Roman" w:cs="Times New Roman"/>
          <w:sz w:val="24"/>
          <w:szCs w:val="24"/>
          <w:lang w:val="en-GB"/>
        </w:rPr>
        <w:t>over</w:t>
      </w:r>
      <w:r w:rsidR="00337B8E">
        <w:rPr>
          <w:rFonts w:ascii="Times New Roman" w:hAnsi="Times New Roman" w:cs="Times New Roman"/>
          <w:sz w:val="24"/>
          <w:szCs w:val="24"/>
          <w:lang w:val="en-GB"/>
        </w:rPr>
        <w:t xml:space="preserve"> the</w:t>
      </w:r>
      <w:r w:rsidR="00C563AD">
        <w:rPr>
          <w:rFonts w:ascii="Times New Roman" w:hAnsi="Times New Roman" w:cs="Times New Roman"/>
          <w:sz w:val="24"/>
          <w:szCs w:val="24"/>
          <w:lang w:val="en-GB"/>
        </w:rPr>
        <w:t xml:space="preserve"> organiz</w:t>
      </w:r>
      <w:r w:rsidR="00E3067E">
        <w:rPr>
          <w:rFonts w:ascii="Times New Roman" w:hAnsi="Times New Roman" w:cs="Times New Roman"/>
          <w:sz w:val="24"/>
          <w:szCs w:val="24"/>
          <w:lang w:val="en-GB"/>
        </w:rPr>
        <w:t>ation of the domestic judiciary. Moreover, this judgment might prove influential for the</w:t>
      </w:r>
      <w:r w:rsidR="00660CC1">
        <w:rPr>
          <w:rFonts w:ascii="Times New Roman" w:hAnsi="Times New Roman" w:cs="Times New Roman"/>
          <w:sz w:val="24"/>
          <w:szCs w:val="24"/>
          <w:lang w:val="en-GB"/>
        </w:rPr>
        <w:t xml:space="preserve"> substantively similar</w:t>
      </w:r>
      <w:r w:rsidR="001439C6">
        <w:rPr>
          <w:rFonts w:ascii="Times New Roman" w:hAnsi="Times New Roman" w:cs="Times New Roman"/>
          <w:sz w:val="24"/>
          <w:szCs w:val="24"/>
          <w:lang w:val="en-GB"/>
        </w:rPr>
        <w:t xml:space="preserve"> case currently pending before the Grand Chamber of the ECtHR.</w:t>
      </w:r>
      <w:r w:rsidR="00EB5F3F">
        <w:rPr>
          <w:rStyle w:val="Voetnootmarkering"/>
          <w:rFonts w:ascii="Times New Roman" w:hAnsi="Times New Roman" w:cs="Times New Roman"/>
          <w:sz w:val="24"/>
          <w:szCs w:val="24"/>
          <w:lang w:val="en-GB"/>
        </w:rPr>
        <w:footnoteReference w:id="6"/>
      </w:r>
      <w:r w:rsidR="001439C6">
        <w:rPr>
          <w:rFonts w:ascii="Times New Roman" w:hAnsi="Times New Roman" w:cs="Times New Roman"/>
          <w:sz w:val="24"/>
          <w:szCs w:val="24"/>
          <w:lang w:val="en-GB"/>
        </w:rPr>
        <w:t xml:space="preserve"> In that way, </w:t>
      </w:r>
      <w:r w:rsidR="00DF63A4">
        <w:rPr>
          <w:rFonts w:ascii="Times New Roman" w:hAnsi="Times New Roman" w:cs="Times New Roman"/>
          <w:sz w:val="24"/>
          <w:szCs w:val="24"/>
          <w:lang w:val="en-GB"/>
        </w:rPr>
        <w:t xml:space="preserve">this judgment might also have an additional </w:t>
      </w:r>
      <w:r w:rsidR="00E324B4">
        <w:rPr>
          <w:rFonts w:ascii="Times New Roman" w:hAnsi="Times New Roman" w:cs="Times New Roman"/>
          <w:sz w:val="24"/>
          <w:szCs w:val="24"/>
          <w:lang w:val="en-GB"/>
        </w:rPr>
        <w:t>eff</w:t>
      </w:r>
      <w:r w:rsidR="001439C6">
        <w:rPr>
          <w:rFonts w:ascii="Times New Roman" w:hAnsi="Times New Roman" w:cs="Times New Roman"/>
          <w:sz w:val="24"/>
          <w:szCs w:val="24"/>
          <w:lang w:val="en-GB"/>
        </w:rPr>
        <w:t>ect on the domestic institutional order.</w:t>
      </w:r>
    </w:p>
    <w:p w14:paraId="2E6364EC" w14:textId="51300B87" w:rsidR="00C26B51" w:rsidRDefault="000C7604"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case note proceeds as follows. The next three sections set forth the </w:t>
      </w:r>
      <w:r w:rsidR="00E324B4">
        <w:rPr>
          <w:rFonts w:ascii="Times New Roman" w:hAnsi="Times New Roman" w:cs="Times New Roman"/>
          <w:sz w:val="24"/>
          <w:szCs w:val="24"/>
          <w:lang w:val="en-GB"/>
        </w:rPr>
        <w:t>complex</w:t>
      </w:r>
      <w:r>
        <w:rPr>
          <w:rFonts w:ascii="Times New Roman" w:hAnsi="Times New Roman" w:cs="Times New Roman"/>
          <w:sz w:val="24"/>
          <w:szCs w:val="24"/>
          <w:lang w:val="en-GB"/>
        </w:rPr>
        <w:t xml:space="preserve"> proceedings that have led up to this judgment, the opinion of Advocate General Sharpston and the </w:t>
      </w:r>
      <w:r w:rsidR="00E324B4">
        <w:rPr>
          <w:rFonts w:ascii="Times New Roman" w:hAnsi="Times New Roman" w:cs="Times New Roman"/>
          <w:sz w:val="24"/>
          <w:szCs w:val="24"/>
          <w:lang w:val="en-GB"/>
        </w:rPr>
        <w:t>judgment</w:t>
      </w:r>
      <w:r>
        <w:rPr>
          <w:rFonts w:ascii="Times New Roman" w:hAnsi="Times New Roman" w:cs="Times New Roman"/>
          <w:sz w:val="24"/>
          <w:szCs w:val="24"/>
          <w:lang w:val="en-GB"/>
        </w:rPr>
        <w:t xml:space="preserve"> of the Court.</w:t>
      </w:r>
      <w:r w:rsidR="00C26B51">
        <w:rPr>
          <w:rFonts w:ascii="Times New Roman" w:hAnsi="Times New Roman" w:cs="Times New Roman"/>
          <w:sz w:val="24"/>
          <w:szCs w:val="24"/>
          <w:lang w:val="en-GB"/>
        </w:rPr>
        <w:t xml:space="preserve"> Where necessary</w:t>
      </w:r>
      <w:r w:rsidR="00E324B4">
        <w:rPr>
          <w:rFonts w:ascii="Times New Roman" w:hAnsi="Times New Roman" w:cs="Times New Roman"/>
          <w:sz w:val="24"/>
          <w:szCs w:val="24"/>
          <w:lang w:val="en-GB"/>
        </w:rPr>
        <w:t>,</w:t>
      </w:r>
      <w:r w:rsidR="00C26B51">
        <w:rPr>
          <w:rFonts w:ascii="Times New Roman" w:hAnsi="Times New Roman" w:cs="Times New Roman"/>
          <w:sz w:val="24"/>
          <w:szCs w:val="24"/>
          <w:lang w:val="en-GB"/>
        </w:rPr>
        <w:t xml:space="preserve"> it will address the proceedings in the case that is currently</w:t>
      </w:r>
      <w:r w:rsidR="007C76F2">
        <w:rPr>
          <w:rFonts w:ascii="Times New Roman" w:hAnsi="Times New Roman" w:cs="Times New Roman"/>
          <w:sz w:val="24"/>
          <w:szCs w:val="24"/>
          <w:lang w:val="en-GB"/>
        </w:rPr>
        <w:t xml:space="preserve"> pending</w:t>
      </w:r>
      <w:r w:rsidR="00C26B51">
        <w:rPr>
          <w:rFonts w:ascii="Times New Roman" w:hAnsi="Times New Roman" w:cs="Times New Roman"/>
          <w:sz w:val="24"/>
          <w:szCs w:val="24"/>
          <w:lang w:val="en-GB"/>
        </w:rPr>
        <w:t xml:space="preserve"> before the Grand Chamber of the ECtHR, thereby indicating how the various European </w:t>
      </w:r>
      <w:r w:rsidR="00DF63A4">
        <w:rPr>
          <w:rFonts w:ascii="Times New Roman" w:hAnsi="Times New Roman" w:cs="Times New Roman"/>
          <w:sz w:val="24"/>
          <w:szCs w:val="24"/>
          <w:lang w:val="en-GB"/>
        </w:rPr>
        <w:t>C</w:t>
      </w:r>
      <w:r w:rsidR="00C26B51">
        <w:rPr>
          <w:rFonts w:ascii="Times New Roman" w:hAnsi="Times New Roman" w:cs="Times New Roman"/>
          <w:sz w:val="24"/>
          <w:szCs w:val="24"/>
          <w:lang w:val="en-GB"/>
        </w:rPr>
        <w:t xml:space="preserve">ourts have reacted to each other’s case law. Section 5 </w:t>
      </w:r>
      <w:r w:rsidR="00C61340">
        <w:rPr>
          <w:rFonts w:ascii="Times New Roman" w:hAnsi="Times New Roman" w:cs="Times New Roman"/>
          <w:sz w:val="24"/>
          <w:szCs w:val="24"/>
          <w:lang w:val="en-GB"/>
        </w:rPr>
        <w:t xml:space="preserve">comments on the significance of this judgment for the right to a tribunal established by law in European law and on its </w:t>
      </w:r>
      <w:r w:rsidR="00776680">
        <w:rPr>
          <w:rFonts w:ascii="Times New Roman" w:hAnsi="Times New Roman" w:cs="Times New Roman"/>
          <w:sz w:val="24"/>
          <w:szCs w:val="24"/>
          <w:lang w:val="en-GB"/>
        </w:rPr>
        <w:t>consequences</w:t>
      </w:r>
      <w:r w:rsidR="00C61340">
        <w:rPr>
          <w:rFonts w:ascii="Times New Roman" w:hAnsi="Times New Roman" w:cs="Times New Roman"/>
          <w:sz w:val="24"/>
          <w:szCs w:val="24"/>
          <w:lang w:val="en-GB"/>
        </w:rPr>
        <w:t xml:space="preserve"> for </w:t>
      </w:r>
      <w:r w:rsidR="00E324B4">
        <w:rPr>
          <w:rFonts w:ascii="Times New Roman" w:hAnsi="Times New Roman" w:cs="Times New Roman"/>
          <w:sz w:val="24"/>
          <w:szCs w:val="24"/>
          <w:lang w:val="en-GB"/>
        </w:rPr>
        <w:t xml:space="preserve">the </w:t>
      </w:r>
      <w:r w:rsidR="007C76F2">
        <w:rPr>
          <w:rFonts w:ascii="Times New Roman" w:hAnsi="Times New Roman" w:cs="Times New Roman"/>
          <w:sz w:val="24"/>
          <w:szCs w:val="24"/>
          <w:lang w:val="en-GB"/>
        </w:rPr>
        <w:t>EU</w:t>
      </w:r>
      <w:r w:rsidR="00C61340">
        <w:rPr>
          <w:rFonts w:ascii="Times New Roman" w:hAnsi="Times New Roman" w:cs="Times New Roman"/>
          <w:sz w:val="24"/>
          <w:szCs w:val="24"/>
          <w:lang w:val="en-GB"/>
        </w:rPr>
        <w:t xml:space="preserve"> Member States. Finally, </w:t>
      </w:r>
      <w:r w:rsidR="0093712C">
        <w:rPr>
          <w:rFonts w:ascii="Times New Roman" w:hAnsi="Times New Roman" w:cs="Times New Roman"/>
          <w:sz w:val="24"/>
          <w:szCs w:val="24"/>
          <w:lang w:val="en-GB"/>
        </w:rPr>
        <w:t>the section</w:t>
      </w:r>
      <w:r w:rsidR="00C61340">
        <w:rPr>
          <w:rFonts w:ascii="Times New Roman" w:hAnsi="Times New Roman" w:cs="Times New Roman"/>
          <w:sz w:val="24"/>
          <w:szCs w:val="24"/>
          <w:lang w:val="en-GB"/>
        </w:rPr>
        <w:t xml:space="preserve"> briefly touches upon the question</w:t>
      </w:r>
      <w:r w:rsidR="0093712C">
        <w:rPr>
          <w:rFonts w:ascii="Times New Roman" w:hAnsi="Times New Roman" w:cs="Times New Roman"/>
          <w:sz w:val="24"/>
          <w:szCs w:val="24"/>
          <w:lang w:val="en-GB"/>
        </w:rPr>
        <w:t>s</w:t>
      </w:r>
      <w:r w:rsidR="00C61340">
        <w:rPr>
          <w:rFonts w:ascii="Times New Roman" w:hAnsi="Times New Roman" w:cs="Times New Roman"/>
          <w:sz w:val="24"/>
          <w:szCs w:val="24"/>
          <w:lang w:val="en-GB"/>
        </w:rPr>
        <w:t xml:space="preserve"> </w:t>
      </w:r>
      <w:r w:rsidR="007C76F2">
        <w:rPr>
          <w:rFonts w:ascii="Times New Roman" w:hAnsi="Times New Roman" w:cs="Times New Roman"/>
          <w:sz w:val="24"/>
          <w:szCs w:val="24"/>
          <w:lang w:val="en-GB"/>
        </w:rPr>
        <w:t xml:space="preserve">that remain </w:t>
      </w:r>
      <w:r w:rsidR="0093712C">
        <w:rPr>
          <w:rFonts w:ascii="Times New Roman" w:hAnsi="Times New Roman" w:cs="Times New Roman"/>
          <w:sz w:val="24"/>
          <w:szCs w:val="24"/>
          <w:lang w:val="en-GB"/>
        </w:rPr>
        <w:t>unanswered</w:t>
      </w:r>
      <w:r w:rsidR="007C76F2">
        <w:rPr>
          <w:rFonts w:ascii="Times New Roman" w:hAnsi="Times New Roman" w:cs="Times New Roman"/>
          <w:sz w:val="24"/>
          <w:szCs w:val="24"/>
          <w:lang w:val="en-GB"/>
        </w:rPr>
        <w:t xml:space="preserve"> after this judgment</w:t>
      </w:r>
      <w:r w:rsidR="00C61340">
        <w:rPr>
          <w:rFonts w:ascii="Times New Roman" w:hAnsi="Times New Roman" w:cs="Times New Roman"/>
          <w:sz w:val="24"/>
          <w:szCs w:val="24"/>
          <w:lang w:val="en-GB"/>
        </w:rPr>
        <w:t xml:space="preserve">. </w:t>
      </w:r>
      <w:r w:rsidR="00C26B51">
        <w:rPr>
          <w:rFonts w:ascii="Times New Roman" w:hAnsi="Times New Roman" w:cs="Times New Roman"/>
          <w:sz w:val="24"/>
          <w:szCs w:val="24"/>
          <w:lang w:val="en-GB"/>
        </w:rPr>
        <w:t>Section 6 concludes.</w:t>
      </w:r>
    </w:p>
    <w:p w14:paraId="36236C8E" w14:textId="703A6A15" w:rsidR="00C61340" w:rsidRDefault="00E65099" w:rsidP="00C61340">
      <w:pPr>
        <w:pStyle w:val="Lijstalinea"/>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FACTUAL</w:t>
      </w:r>
      <w:r w:rsidR="00361AD7">
        <w:rPr>
          <w:rFonts w:ascii="Times New Roman" w:hAnsi="Times New Roman" w:cs="Times New Roman"/>
          <w:sz w:val="24"/>
          <w:szCs w:val="24"/>
          <w:lang w:val="en-GB"/>
        </w:rPr>
        <w:t xml:space="preserve"> AND LEGAL</w:t>
      </w:r>
      <w:r>
        <w:rPr>
          <w:rFonts w:ascii="Times New Roman" w:hAnsi="Times New Roman" w:cs="Times New Roman"/>
          <w:sz w:val="24"/>
          <w:szCs w:val="24"/>
          <w:lang w:val="en-GB"/>
        </w:rPr>
        <w:t xml:space="preserve"> BACKGROUND</w:t>
      </w:r>
    </w:p>
    <w:p w14:paraId="08084D9E" w14:textId="0A12A08E" w:rsidR="00C61340" w:rsidRDefault="003359F1"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On 3 December 2013, a public call for applications was published in the Official Journal of the Union,</w:t>
      </w:r>
      <w:r>
        <w:rPr>
          <w:rStyle w:val="Voetnootmarkering"/>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with a view to appointing two judges to the CST in anticipation of the expiry of the terms of office of two of the Tribunal’s judges on 30 December 2014. The </w:t>
      </w:r>
      <w:r w:rsidR="002659B0">
        <w:rPr>
          <w:rFonts w:ascii="Times New Roman" w:hAnsi="Times New Roman" w:cs="Times New Roman"/>
          <w:sz w:val="24"/>
          <w:szCs w:val="24"/>
          <w:lang w:val="en-GB"/>
        </w:rPr>
        <w:t xml:space="preserve">call </w:t>
      </w:r>
      <w:r w:rsidR="00C036E8">
        <w:rPr>
          <w:rFonts w:ascii="Times New Roman" w:hAnsi="Times New Roman" w:cs="Times New Roman"/>
          <w:sz w:val="24"/>
          <w:szCs w:val="24"/>
          <w:lang w:val="en-GB"/>
        </w:rPr>
        <w:t>stated</w:t>
      </w:r>
      <w:r w:rsidR="002659B0">
        <w:rPr>
          <w:rFonts w:ascii="Times New Roman" w:hAnsi="Times New Roman" w:cs="Times New Roman"/>
          <w:sz w:val="24"/>
          <w:szCs w:val="24"/>
          <w:lang w:val="en-GB"/>
        </w:rPr>
        <w:t xml:space="preserve">, among other things, that the list of suitable candidates drawn up by the selection committee would contain the names of at least twice as many candidates as there were judges to be appointed. The selection committee drew up a list containing the names of six, instead of the minimum required four, suitable candidates. The Council, however, </w:t>
      </w:r>
      <w:r w:rsidR="00AA5646">
        <w:rPr>
          <w:rFonts w:ascii="Times New Roman" w:hAnsi="Times New Roman" w:cs="Times New Roman"/>
          <w:sz w:val="24"/>
          <w:szCs w:val="24"/>
          <w:lang w:val="en-GB"/>
        </w:rPr>
        <w:t>decided</w:t>
      </w:r>
      <w:r w:rsidR="002659B0">
        <w:rPr>
          <w:rFonts w:ascii="Times New Roman" w:hAnsi="Times New Roman" w:cs="Times New Roman"/>
          <w:sz w:val="24"/>
          <w:szCs w:val="24"/>
          <w:lang w:val="en-GB"/>
        </w:rPr>
        <w:t xml:space="preserve"> not </w:t>
      </w:r>
      <w:r w:rsidR="00AA5646">
        <w:rPr>
          <w:rFonts w:ascii="Times New Roman" w:hAnsi="Times New Roman" w:cs="Times New Roman"/>
          <w:sz w:val="24"/>
          <w:szCs w:val="24"/>
          <w:lang w:val="en-GB"/>
        </w:rPr>
        <w:t xml:space="preserve">to </w:t>
      </w:r>
      <w:r w:rsidR="002659B0">
        <w:rPr>
          <w:rFonts w:ascii="Times New Roman" w:hAnsi="Times New Roman" w:cs="Times New Roman"/>
          <w:sz w:val="24"/>
          <w:szCs w:val="24"/>
          <w:lang w:val="en-GB"/>
        </w:rPr>
        <w:t>fill the two posts at that time</w:t>
      </w:r>
      <w:r w:rsidR="006D0E79">
        <w:rPr>
          <w:rFonts w:ascii="Times New Roman" w:hAnsi="Times New Roman" w:cs="Times New Roman"/>
          <w:sz w:val="24"/>
          <w:szCs w:val="24"/>
          <w:lang w:val="en-GB"/>
        </w:rPr>
        <w:t xml:space="preserve"> and the judges whose mandate had expired, continued to hold office</w:t>
      </w:r>
      <w:r w:rsidR="002659B0">
        <w:rPr>
          <w:rFonts w:ascii="Times New Roman" w:hAnsi="Times New Roman" w:cs="Times New Roman"/>
          <w:sz w:val="24"/>
          <w:szCs w:val="24"/>
          <w:lang w:val="en-GB"/>
        </w:rPr>
        <w:t xml:space="preserve">. </w:t>
      </w:r>
    </w:p>
    <w:p w14:paraId="41966B8F" w14:textId="2BB3FF1F" w:rsidR="002659B0" w:rsidRDefault="002659B0"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term of office of a third judge of the CST had expired in August 2015, the Council issued </w:t>
      </w:r>
      <w:r w:rsidR="006D0E79">
        <w:rPr>
          <w:rFonts w:ascii="Times New Roman" w:hAnsi="Times New Roman" w:cs="Times New Roman"/>
          <w:sz w:val="24"/>
          <w:szCs w:val="24"/>
          <w:lang w:val="en-GB"/>
        </w:rPr>
        <w:t>a decision in March 2016,</w:t>
      </w:r>
      <w:r w:rsidR="009126CA">
        <w:rPr>
          <w:rStyle w:val="Voetnootmarkering"/>
          <w:rFonts w:ascii="Times New Roman" w:hAnsi="Times New Roman" w:cs="Times New Roman"/>
          <w:sz w:val="24"/>
          <w:szCs w:val="24"/>
          <w:lang w:val="en-GB"/>
        </w:rPr>
        <w:footnoteReference w:id="8"/>
      </w:r>
      <w:r w:rsidR="006D0E79">
        <w:rPr>
          <w:rFonts w:ascii="Times New Roman" w:hAnsi="Times New Roman" w:cs="Times New Roman"/>
          <w:sz w:val="24"/>
          <w:szCs w:val="24"/>
          <w:lang w:val="en-GB"/>
        </w:rPr>
        <w:t xml:space="preserve"> in which it appointed three judges to fill all three vacancies. Given that at that time, it had already been decided that the CST would seize to exist from 1 September 2016, the Council decided it was best, for reasons of timing, not to publish a new call for applications, but rather to </w:t>
      </w:r>
      <w:r w:rsidR="009126CA">
        <w:rPr>
          <w:rFonts w:ascii="Times New Roman" w:hAnsi="Times New Roman" w:cs="Times New Roman"/>
          <w:sz w:val="24"/>
          <w:szCs w:val="24"/>
          <w:lang w:val="en-GB"/>
        </w:rPr>
        <w:t>appoint three members from</w:t>
      </w:r>
      <w:r w:rsidR="006D0E79">
        <w:rPr>
          <w:rFonts w:ascii="Times New Roman" w:hAnsi="Times New Roman" w:cs="Times New Roman"/>
          <w:sz w:val="24"/>
          <w:szCs w:val="24"/>
          <w:lang w:val="en-GB"/>
        </w:rPr>
        <w:t xml:space="preserve"> the list of six candidates from the earlier call</w:t>
      </w:r>
      <w:r w:rsidR="00C036E8">
        <w:rPr>
          <w:rFonts w:ascii="Times New Roman" w:hAnsi="Times New Roman" w:cs="Times New Roman"/>
          <w:sz w:val="24"/>
          <w:szCs w:val="24"/>
          <w:lang w:val="en-GB"/>
        </w:rPr>
        <w:t xml:space="preserve"> that was</w:t>
      </w:r>
      <w:r w:rsidR="006D0E79">
        <w:rPr>
          <w:rFonts w:ascii="Times New Roman" w:hAnsi="Times New Roman" w:cs="Times New Roman"/>
          <w:sz w:val="24"/>
          <w:szCs w:val="24"/>
          <w:lang w:val="en-GB"/>
        </w:rPr>
        <w:t xml:space="preserve"> published in 2013. </w:t>
      </w:r>
      <w:r w:rsidR="009126CA">
        <w:rPr>
          <w:rFonts w:ascii="Times New Roman" w:hAnsi="Times New Roman" w:cs="Times New Roman"/>
          <w:sz w:val="24"/>
          <w:szCs w:val="24"/>
          <w:lang w:val="en-GB"/>
        </w:rPr>
        <w:t>Two of the three</w:t>
      </w:r>
      <w:r w:rsidR="00C036E8">
        <w:rPr>
          <w:rFonts w:ascii="Times New Roman" w:hAnsi="Times New Roman" w:cs="Times New Roman"/>
          <w:sz w:val="24"/>
          <w:szCs w:val="24"/>
          <w:lang w:val="en-GB"/>
        </w:rPr>
        <w:t xml:space="preserve"> newly</w:t>
      </w:r>
      <w:r w:rsidR="009126CA">
        <w:rPr>
          <w:rFonts w:ascii="Times New Roman" w:hAnsi="Times New Roman" w:cs="Times New Roman"/>
          <w:sz w:val="24"/>
          <w:szCs w:val="24"/>
          <w:lang w:val="en-GB"/>
        </w:rPr>
        <w:t xml:space="preserve"> appointed judges were attached to the second chamber of the CST.</w:t>
      </w:r>
    </w:p>
    <w:p w14:paraId="42A91987" w14:textId="4D795F9F" w:rsidR="002659B0" w:rsidRDefault="009126CA"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this second chamber that dismissed the complaints from Simpson and HG in the original disputes. Both individuals subsequently appealed to the General Court. </w:t>
      </w:r>
      <w:r w:rsidR="00360723">
        <w:rPr>
          <w:rFonts w:ascii="Times New Roman" w:hAnsi="Times New Roman" w:cs="Times New Roman"/>
          <w:sz w:val="24"/>
          <w:szCs w:val="24"/>
          <w:lang w:val="en-GB"/>
        </w:rPr>
        <w:t xml:space="preserve">In the appeal proceedings, the General Court set aside both </w:t>
      </w:r>
      <w:r w:rsidR="007A72FB">
        <w:rPr>
          <w:rFonts w:ascii="Times New Roman" w:hAnsi="Times New Roman" w:cs="Times New Roman"/>
          <w:sz w:val="24"/>
          <w:szCs w:val="24"/>
          <w:lang w:val="en-GB"/>
        </w:rPr>
        <w:t>decisions</w:t>
      </w:r>
      <w:r w:rsidR="00360723">
        <w:rPr>
          <w:rFonts w:ascii="Times New Roman" w:hAnsi="Times New Roman" w:cs="Times New Roman"/>
          <w:sz w:val="24"/>
          <w:szCs w:val="24"/>
          <w:lang w:val="en-GB"/>
        </w:rPr>
        <w:t xml:space="preserve"> by the CST</w:t>
      </w:r>
      <w:r w:rsidR="008E1B45">
        <w:rPr>
          <w:rFonts w:ascii="Times New Roman" w:hAnsi="Times New Roman" w:cs="Times New Roman"/>
          <w:sz w:val="24"/>
          <w:szCs w:val="24"/>
          <w:lang w:val="en-GB"/>
        </w:rPr>
        <w:t>.</w:t>
      </w:r>
      <w:r w:rsidR="00215D2B">
        <w:rPr>
          <w:rStyle w:val="Voetnootmarkering"/>
          <w:rFonts w:ascii="Times New Roman" w:hAnsi="Times New Roman" w:cs="Times New Roman"/>
          <w:sz w:val="24"/>
          <w:szCs w:val="24"/>
          <w:lang w:val="en-GB"/>
        </w:rPr>
        <w:footnoteReference w:id="9"/>
      </w:r>
      <w:r w:rsidR="008E1B45">
        <w:rPr>
          <w:rFonts w:ascii="Times New Roman" w:hAnsi="Times New Roman" w:cs="Times New Roman"/>
          <w:sz w:val="24"/>
          <w:szCs w:val="24"/>
          <w:lang w:val="en-GB"/>
        </w:rPr>
        <w:t xml:space="preserve"> </w:t>
      </w:r>
      <w:r w:rsidR="00C036E8">
        <w:rPr>
          <w:rFonts w:ascii="Times New Roman" w:hAnsi="Times New Roman" w:cs="Times New Roman"/>
          <w:sz w:val="24"/>
          <w:szCs w:val="24"/>
          <w:lang w:val="en-GB"/>
        </w:rPr>
        <w:t>In both judgments, it</w:t>
      </w:r>
      <w:r w:rsidR="008E1B45">
        <w:rPr>
          <w:rFonts w:ascii="Times New Roman" w:hAnsi="Times New Roman" w:cs="Times New Roman"/>
          <w:sz w:val="24"/>
          <w:szCs w:val="24"/>
          <w:lang w:val="en-GB"/>
        </w:rPr>
        <w:t xml:space="preserve"> relied </w:t>
      </w:r>
      <w:r w:rsidR="00C036E8">
        <w:rPr>
          <w:rFonts w:ascii="Times New Roman" w:hAnsi="Times New Roman" w:cs="Times New Roman"/>
          <w:sz w:val="24"/>
          <w:szCs w:val="24"/>
          <w:lang w:val="en-GB"/>
        </w:rPr>
        <w:t xml:space="preserve">heavily </w:t>
      </w:r>
      <w:r w:rsidR="008E1B45">
        <w:rPr>
          <w:rFonts w:ascii="Times New Roman" w:hAnsi="Times New Roman" w:cs="Times New Roman"/>
          <w:sz w:val="24"/>
          <w:szCs w:val="24"/>
          <w:lang w:val="en-GB"/>
        </w:rPr>
        <w:t>on an earlier judgment</w:t>
      </w:r>
      <w:r w:rsidR="003D727A">
        <w:rPr>
          <w:rFonts w:ascii="Times New Roman" w:hAnsi="Times New Roman" w:cs="Times New Roman"/>
          <w:sz w:val="24"/>
          <w:szCs w:val="24"/>
          <w:lang w:val="en-GB"/>
        </w:rPr>
        <w:t xml:space="preserve">, </w:t>
      </w:r>
      <w:r w:rsidR="003D727A">
        <w:rPr>
          <w:rFonts w:ascii="Times New Roman" w:hAnsi="Times New Roman" w:cs="Times New Roman"/>
          <w:i/>
          <w:sz w:val="24"/>
          <w:szCs w:val="24"/>
          <w:lang w:val="en-GB"/>
        </w:rPr>
        <w:t xml:space="preserve">FV </w:t>
      </w:r>
      <w:r w:rsidR="003D727A">
        <w:rPr>
          <w:rFonts w:ascii="Times New Roman" w:hAnsi="Times New Roman" w:cs="Times New Roman"/>
          <w:sz w:val="24"/>
          <w:szCs w:val="24"/>
          <w:lang w:val="en-GB"/>
        </w:rPr>
        <w:t xml:space="preserve">v. </w:t>
      </w:r>
      <w:r w:rsidR="003D727A">
        <w:rPr>
          <w:rFonts w:ascii="Times New Roman" w:hAnsi="Times New Roman" w:cs="Times New Roman"/>
          <w:i/>
          <w:sz w:val="24"/>
          <w:szCs w:val="24"/>
          <w:lang w:val="en-GB"/>
        </w:rPr>
        <w:t>Council</w:t>
      </w:r>
      <w:r w:rsidR="003D727A">
        <w:rPr>
          <w:rFonts w:ascii="Times New Roman" w:hAnsi="Times New Roman" w:cs="Times New Roman"/>
          <w:sz w:val="24"/>
          <w:szCs w:val="24"/>
          <w:lang w:val="en-GB"/>
        </w:rPr>
        <w:t>,</w:t>
      </w:r>
      <w:r w:rsidR="008E1B45">
        <w:rPr>
          <w:rFonts w:ascii="Times New Roman" w:hAnsi="Times New Roman" w:cs="Times New Roman"/>
          <w:sz w:val="24"/>
          <w:szCs w:val="24"/>
          <w:lang w:val="en-GB"/>
        </w:rPr>
        <w:t xml:space="preserve"> in which it had decided that the composition of the second chamber of the CST was irregular, due to the fact that </w:t>
      </w:r>
      <w:r w:rsidR="00215D2B">
        <w:rPr>
          <w:rFonts w:ascii="Times New Roman" w:hAnsi="Times New Roman" w:cs="Times New Roman"/>
          <w:sz w:val="24"/>
          <w:szCs w:val="24"/>
          <w:lang w:val="en-GB"/>
        </w:rPr>
        <w:t xml:space="preserve">the appointment of </w:t>
      </w:r>
      <w:r w:rsidR="00C036E8">
        <w:rPr>
          <w:rFonts w:ascii="Times New Roman" w:hAnsi="Times New Roman" w:cs="Times New Roman"/>
          <w:sz w:val="24"/>
          <w:szCs w:val="24"/>
          <w:lang w:val="en-GB"/>
        </w:rPr>
        <w:t>two</w:t>
      </w:r>
      <w:r w:rsidR="00215D2B">
        <w:rPr>
          <w:rFonts w:ascii="Times New Roman" w:hAnsi="Times New Roman" w:cs="Times New Roman"/>
          <w:sz w:val="24"/>
          <w:szCs w:val="24"/>
          <w:lang w:val="en-GB"/>
        </w:rPr>
        <w:t xml:space="preserve"> of the </w:t>
      </w:r>
      <w:r w:rsidR="00215D2B">
        <w:rPr>
          <w:rFonts w:ascii="Times New Roman" w:hAnsi="Times New Roman" w:cs="Times New Roman"/>
          <w:sz w:val="24"/>
          <w:szCs w:val="24"/>
          <w:lang w:val="en-GB"/>
        </w:rPr>
        <w:lastRenderedPageBreak/>
        <w:t>judges that sat in the second chamber had disregard</w:t>
      </w:r>
      <w:r w:rsidR="007C76F2">
        <w:rPr>
          <w:rFonts w:ascii="Times New Roman" w:hAnsi="Times New Roman" w:cs="Times New Roman"/>
          <w:sz w:val="24"/>
          <w:szCs w:val="24"/>
          <w:lang w:val="en-GB"/>
        </w:rPr>
        <w:t>ed</w:t>
      </w:r>
      <w:r w:rsidR="00215D2B">
        <w:rPr>
          <w:rFonts w:ascii="Times New Roman" w:hAnsi="Times New Roman" w:cs="Times New Roman"/>
          <w:sz w:val="24"/>
          <w:szCs w:val="24"/>
          <w:lang w:val="en-GB"/>
        </w:rPr>
        <w:t xml:space="preserve"> the legal framework that was laid down in the public call for applications of 3 December 2013. In that judgment the </w:t>
      </w:r>
      <w:r w:rsidR="00502FFF">
        <w:rPr>
          <w:rFonts w:ascii="Times New Roman" w:hAnsi="Times New Roman" w:cs="Times New Roman"/>
          <w:sz w:val="24"/>
          <w:szCs w:val="24"/>
          <w:lang w:val="en-GB"/>
        </w:rPr>
        <w:t>GC</w:t>
      </w:r>
      <w:r w:rsidR="00215D2B">
        <w:rPr>
          <w:rFonts w:ascii="Times New Roman" w:hAnsi="Times New Roman" w:cs="Times New Roman"/>
          <w:sz w:val="24"/>
          <w:szCs w:val="24"/>
          <w:lang w:val="en-GB"/>
        </w:rPr>
        <w:t xml:space="preserve"> </w:t>
      </w:r>
      <w:r w:rsidR="0093712C">
        <w:rPr>
          <w:rFonts w:ascii="Times New Roman" w:hAnsi="Times New Roman" w:cs="Times New Roman"/>
          <w:sz w:val="24"/>
          <w:szCs w:val="24"/>
          <w:lang w:val="en-GB"/>
        </w:rPr>
        <w:t xml:space="preserve">had </w:t>
      </w:r>
      <w:r w:rsidR="00215D2B">
        <w:rPr>
          <w:rFonts w:ascii="Times New Roman" w:hAnsi="Times New Roman" w:cs="Times New Roman"/>
          <w:sz w:val="24"/>
          <w:szCs w:val="24"/>
          <w:lang w:val="en-GB"/>
        </w:rPr>
        <w:t>held that, having regard to the importance of compliance with the rules governing the appointment of a judge for the confidence of the public in the independence and impartiality of the courts, the judge</w:t>
      </w:r>
      <w:r w:rsidR="007A72FB">
        <w:rPr>
          <w:rFonts w:ascii="Times New Roman" w:hAnsi="Times New Roman" w:cs="Times New Roman"/>
          <w:sz w:val="24"/>
          <w:szCs w:val="24"/>
          <w:lang w:val="en-GB"/>
        </w:rPr>
        <w:t>s</w:t>
      </w:r>
      <w:r w:rsidR="00215D2B">
        <w:rPr>
          <w:rFonts w:ascii="Times New Roman" w:hAnsi="Times New Roman" w:cs="Times New Roman"/>
          <w:sz w:val="24"/>
          <w:szCs w:val="24"/>
          <w:lang w:val="en-GB"/>
        </w:rPr>
        <w:t xml:space="preserve"> at issue could not be regarded as lawful judge</w:t>
      </w:r>
      <w:r w:rsidR="007C76F2">
        <w:rPr>
          <w:rFonts w:ascii="Times New Roman" w:hAnsi="Times New Roman" w:cs="Times New Roman"/>
          <w:sz w:val="24"/>
          <w:szCs w:val="24"/>
          <w:lang w:val="en-GB"/>
        </w:rPr>
        <w:t>s</w:t>
      </w:r>
      <w:r w:rsidR="00215D2B">
        <w:rPr>
          <w:rFonts w:ascii="Times New Roman" w:hAnsi="Times New Roman" w:cs="Times New Roman"/>
          <w:sz w:val="24"/>
          <w:szCs w:val="24"/>
          <w:lang w:val="en-GB"/>
        </w:rPr>
        <w:t xml:space="preserve"> within the meaning of Article 47(2) of the Charter.</w:t>
      </w:r>
      <w:r w:rsidR="00215D2B">
        <w:rPr>
          <w:rStyle w:val="Voetnootmarkering"/>
          <w:rFonts w:ascii="Times New Roman" w:hAnsi="Times New Roman" w:cs="Times New Roman"/>
          <w:sz w:val="24"/>
          <w:szCs w:val="24"/>
          <w:lang w:val="en-GB"/>
        </w:rPr>
        <w:footnoteReference w:id="10"/>
      </w:r>
      <w:r w:rsidR="0041561D">
        <w:rPr>
          <w:rFonts w:ascii="Times New Roman" w:hAnsi="Times New Roman" w:cs="Times New Roman"/>
          <w:sz w:val="24"/>
          <w:szCs w:val="24"/>
          <w:lang w:val="en-GB"/>
        </w:rPr>
        <w:t xml:space="preserve"> Furthermore, </w:t>
      </w:r>
      <w:r w:rsidR="00D54B33">
        <w:rPr>
          <w:rFonts w:ascii="Times New Roman" w:hAnsi="Times New Roman" w:cs="Times New Roman"/>
          <w:sz w:val="24"/>
          <w:szCs w:val="24"/>
          <w:lang w:val="en-GB"/>
        </w:rPr>
        <w:t xml:space="preserve">relying on the ECJ’s judgment in </w:t>
      </w:r>
      <w:proofErr w:type="spellStart"/>
      <w:r w:rsidR="00D54B33">
        <w:rPr>
          <w:rFonts w:ascii="Times New Roman" w:hAnsi="Times New Roman" w:cs="Times New Roman"/>
          <w:i/>
          <w:sz w:val="24"/>
          <w:szCs w:val="24"/>
          <w:lang w:val="en-GB"/>
        </w:rPr>
        <w:t>Chronpost</w:t>
      </w:r>
      <w:proofErr w:type="spellEnd"/>
      <w:r w:rsidR="00D54B33">
        <w:rPr>
          <w:rFonts w:ascii="Times New Roman" w:hAnsi="Times New Roman" w:cs="Times New Roman"/>
          <w:sz w:val="24"/>
          <w:szCs w:val="24"/>
          <w:lang w:val="en-GB"/>
        </w:rPr>
        <w:t>,</w:t>
      </w:r>
      <w:r w:rsidR="00D66A21">
        <w:rPr>
          <w:rStyle w:val="Voetnootmarkering"/>
          <w:rFonts w:ascii="Times New Roman" w:hAnsi="Times New Roman" w:cs="Times New Roman"/>
          <w:sz w:val="24"/>
          <w:szCs w:val="24"/>
          <w:lang w:val="en-GB"/>
        </w:rPr>
        <w:footnoteReference w:id="11"/>
      </w:r>
      <w:r w:rsidR="00D54B33">
        <w:rPr>
          <w:rFonts w:ascii="Times New Roman" w:hAnsi="Times New Roman" w:cs="Times New Roman"/>
          <w:sz w:val="24"/>
          <w:szCs w:val="24"/>
          <w:lang w:val="en-GB"/>
        </w:rPr>
        <w:t xml:space="preserve"> the General Court held that </w:t>
      </w:r>
      <w:r w:rsidR="0041561D">
        <w:rPr>
          <w:rFonts w:ascii="Times New Roman" w:hAnsi="Times New Roman" w:cs="Times New Roman"/>
          <w:sz w:val="24"/>
          <w:szCs w:val="24"/>
          <w:lang w:val="en-GB"/>
        </w:rPr>
        <w:t xml:space="preserve">a ground alleging the irregular </w:t>
      </w:r>
      <w:r w:rsidR="007A72FB">
        <w:rPr>
          <w:rFonts w:ascii="Times New Roman" w:hAnsi="Times New Roman" w:cs="Times New Roman"/>
          <w:sz w:val="24"/>
          <w:szCs w:val="24"/>
          <w:lang w:val="en-GB"/>
        </w:rPr>
        <w:t>composition</w:t>
      </w:r>
      <w:r w:rsidR="0041561D">
        <w:rPr>
          <w:rFonts w:ascii="Times New Roman" w:hAnsi="Times New Roman" w:cs="Times New Roman"/>
          <w:sz w:val="24"/>
          <w:szCs w:val="24"/>
          <w:lang w:val="en-GB"/>
        </w:rPr>
        <w:t xml:space="preserve"> of a tribunal is a ground involving a question of public policy, </w:t>
      </w:r>
      <w:r w:rsidR="00D54B33">
        <w:rPr>
          <w:rFonts w:ascii="Times New Roman" w:hAnsi="Times New Roman" w:cs="Times New Roman"/>
          <w:sz w:val="24"/>
          <w:szCs w:val="24"/>
          <w:lang w:val="en-GB"/>
        </w:rPr>
        <w:t>which</w:t>
      </w:r>
      <w:r w:rsidR="0041561D">
        <w:rPr>
          <w:rFonts w:ascii="Times New Roman" w:hAnsi="Times New Roman" w:cs="Times New Roman"/>
          <w:sz w:val="24"/>
          <w:szCs w:val="24"/>
          <w:lang w:val="en-GB"/>
        </w:rPr>
        <w:t xml:space="preserve"> must be examined </w:t>
      </w:r>
      <w:r w:rsidR="00D54B33">
        <w:rPr>
          <w:rFonts w:ascii="Times New Roman" w:hAnsi="Times New Roman" w:cs="Times New Roman"/>
          <w:sz w:val="24"/>
          <w:szCs w:val="24"/>
          <w:lang w:val="en-GB"/>
        </w:rPr>
        <w:t>of</w:t>
      </w:r>
      <w:r w:rsidR="0041561D">
        <w:rPr>
          <w:rFonts w:ascii="Times New Roman" w:hAnsi="Times New Roman" w:cs="Times New Roman"/>
          <w:sz w:val="24"/>
          <w:szCs w:val="24"/>
          <w:lang w:val="en-GB"/>
        </w:rPr>
        <w:t xml:space="preserve"> its own motion, even if this irregularity was not invoked at first instance.</w:t>
      </w:r>
      <w:r w:rsidR="0041561D">
        <w:rPr>
          <w:rStyle w:val="Voetnootmarkering"/>
          <w:rFonts w:ascii="Times New Roman" w:hAnsi="Times New Roman" w:cs="Times New Roman"/>
          <w:sz w:val="24"/>
          <w:szCs w:val="24"/>
          <w:lang w:val="en-GB"/>
        </w:rPr>
        <w:footnoteReference w:id="12"/>
      </w:r>
      <w:r w:rsidR="0041561D">
        <w:rPr>
          <w:rFonts w:ascii="Times New Roman" w:hAnsi="Times New Roman" w:cs="Times New Roman"/>
          <w:sz w:val="24"/>
          <w:szCs w:val="24"/>
          <w:lang w:val="en-GB"/>
        </w:rPr>
        <w:t xml:space="preserve"> </w:t>
      </w:r>
    </w:p>
    <w:p w14:paraId="6C451BF1" w14:textId="32C3370C" w:rsidR="00215D2B" w:rsidRDefault="00BF4657"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accordance with Article 62 of the Statute of the Court of Justice, the First Advocate General recommended that the General Court’s judgments in the appeal proceedings in </w:t>
      </w:r>
      <w:r>
        <w:rPr>
          <w:rFonts w:ascii="Times New Roman" w:hAnsi="Times New Roman" w:cs="Times New Roman"/>
          <w:i/>
          <w:sz w:val="24"/>
          <w:szCs w:val="24"/>
          <w:lang w:val="en-GB"/>
        </w:rPr>
        <w:t xml:space="preserve">Simpson </w:t>
      </w:r>
      <w:r w:rsidRPr="004E720B">
        <w:rPr>
          <w:rFonts w:ascii="Times New Roman" w:hAnsi="Times New Roman" w:cs="Times New Roman"/>
          <w:sz w:val="24"/>
          <w:szCs w:val="24"/>
          <w:lang w:val="en-GB"/>
        </w:rPr>
        <w:t>v</w:t>
      </w:r>
      <w:r w:rsidR="004E720B">
        <w:rPr>
          <w:rFonts w:ascii="Times New Roman" w:hAnsi="Times New Roman" w:cs="Times New Roman"/>
          <w:sz w:val="24"/>
          <w:szCs w:val="24"/>
          <w:lang w:val="en-GB"/>
        </w:rPr>
        <w:t>.</w:t>
      </w:r>
      <w:r>
        <w:rPr>
          <w:rFonts w:ascii="Times New Roman" w:hAnsi="Times New Roman" w:cs="Times New Roman"/>
          <w:i/>
          <w:sz w:val="24"/>
          <w:szCs w:val="24"/>
          <w:lang w:val="en-GB"/>
        </w:rPr>
        <w:t xml:space="preserve"> Council </w:t>
      </w:r>
      <w:r>
        <w:rPr>
          <w:rFonts w:ascii="Times New Roman" w:hAnsi="Times New Roman" w:cs="Times New Roman"/>
          <w:sz w:val="24"/>
          <w:szCs w:val="24"/>
          <w:lang w:val="en-GB"/>
        </w:rPr>
        <w:t xml:space="preserve">and </w:t>
      </w:r>
      <w:r>
        <w:rPr>
          <w:rFonts w:ascii="Times New Roman" w:hAnsi="Times New Roman" w:cs="Times New Roman"/>
          <w:i/>
          <w:sz w:val="24"/>
          <w:szCs w:val="24"/>
          <w:lang w:val="en-GB"/>
        </w:rPr>
        <w:t xml:space="preserve">HG </w:t>
      </w:r>
      <w:r w:rsidRPr="004E720B">
        <w:rPr>
          <w:rFonts w:ascii="Times New Roman" w:hAnsi="Times New Roman" w:cs="Times New Roman"/>
          <w:sz w:val="24"/>
          <w:szCs w:val="24"/>
          <w:lang w:val="en-GB"/>
        </w:rPr>
        <w:t>v</w:t>
      </w:r>
      <w:r w:rsidR="004E720B">
        <w:rPr>
          <w:rFonts w:ascii="Times New Roman" w:hAnsi="Times New Roman" w:cs="Times New Roman"/>
          <w:sz w:val="24"/>
          <w:szCs w:val="24"/>
          <w:lang w:val="en-GB"/>
        </w:rPr>
        <w:t>.</w:t>
      </w:r>
      <w:r>
        <w:rPr>
          <w:rFonts w:ascii="Times New Roman" w:hAnsi="Times New Roman" w:cs="Times New Roman"/>
          <w:i/>
          <w:sz w:val="24"/>
          <w:szCs w:val="24"/>
          <w:lang w:val="en-GB"/>
        </w:rPr>
        <w:t xml:space="preserve"> Commission</w:t>
      </w:r>
      <w:r>
        <w:rPr>
          <w:rFonts w:ascii="Times New Roman" w:hAnsi="Times New Roman" w:cs="Times New Roman"/>
          <w:sz w:val="24"/>
          <w:szCs w:val="24"/>
          <w:lang w:val="en-GB"/>
        </w:rPr>
        <w:t xml:space="preserve"> be reviewed. </w:t>
      </w:r>
      <w:r w:rsidR="00C036E8">
        <w:rPr>
          <w:rFonts w:ascii="Times New Roman" w:hAnsi="Times New Roman" w:cs="Times New Roman"/>
          <w:sz w:val="24"/>
          <w:szCs w:val="24"/>
          <w:lang w:val="en-GB"/>
        </w:rPr>
        <w:t>In response, t</w:t>
      </w:r>
      <w:r>
        <w:rPr>
          <w:rFonts w:ascii="Times New Roman" w:hAnsi="Times New Roman" w:cs="Times New Roman"/>
          <w:sz w:val="24"/>
          <w:szCs w:val="24"/>
          <w:lang w:val="en-GB"/>
        </w:rPr>
        <w:t>he Reviewing Chamber of the ECJ, by virtue of Article 193(4) of the Rules of Procedure of the Court of Justice, decided that the judgments in question should be reviewed.</w:t>
      </w:r>
      <w:r>
        <w:rPr>
          <w:rStyle w:val="Voetnootmarkering"/>
          <w:rFonts w:ascii="Times New Roman" w:hAnsi="Times New Roman" w:cs="Times New Roman"/>
          <w:sz w:val="24"/>
          <w:szCs w:val="24"/>
          <w:lang w:val="en-GB"/>
        </w:rPr>
        <w:footnoteReference w:id="13"/>
      </w:r>
      <w:r w:rsidR="007A72FB">
        <w:rPr>
          <w:rFonts w:ascii="Times New Roman" w:hAnsi="Times New Roman" w:cs="Times New Roman"/>
          <w:sz w:val="24"/>
          <w:szCs w:val="24"/>
          <w:lang w:val="en-GB"/>
        </w:rPr>
        <w:t xml:space="preserve"> </w:t>
      </w:r>
      <w:r>
        <w:rPr>
          <w:rFonts w:ascii="Times New Roman" w:hAnsi="Times New Roman" w:cs="Times New Roman"/>
          <w:sz w:val="24"/>
          <w:szCs w:val="24"/>
          <w:lang w:val="en-GB"/>
        </w:rPr>
        <w:t>It limited the parameters of the review</w:t>
      </w:r>
      <w:r w:rsidR="0041561D">
        <w:rPr>
          <w:rFonts w:ascii="Times New Roman" w:hAnsi="Times New Roman" w:cs="Times New Roman"/>
          <w:sz w:val="24"/>
          <w:szCs w:val="24"/>
          <w:lang w:val="en-GB"/>
        </w:rPr>
        <w:t xml:space="preserve"> first</w:t>
      </w:r>
      <w:r w:rsidR="003D7092">
        <w:rPr>
          <w:rFonts w:ascii="Times New Roman" w:hAnsi="Times New Roman" w:cs="Times New Roman"/>
          <w:sz w:val="24"/>
          <w:szCs w:val="24"/>
          <w:lang w:val="en-GB"/>
        </w:rPr>
        <w:t xml:space="preserve"> to the question</w:t>
      </w:r>
      <w:r>
        <w:rPr>
          <w:rFonts w:ascii="Times New Roman" w:hAnsi="Times New Roman" w:cs="Times New Roman"/>
          <w:sz w:val="24"/>
          <w:szCs w:val="24"/>
          <w:lang w:val="en-GB"/>
        </w:rPr>
        <w:t xml:space="preserve"> whether</w:t>
      </w:r>
      <w:r w:rsidR="00F2528F">
        <w:rPr>
          <w:rFonts w:ascii="Times New Roman" w:hAnsi="Times New Roman" w:cs="Times New Roman"/>
          <w:sz w:val="24"/>
          <w:szCs w:val="24"/>
          <w:lang w:val="en-GB"/>
        </w:rPr>
        <w:t>, having regard to the principle of legal certainty,</w:t>
      </w:r>
      <w:r>
        <w:rPr>
          <w:rFonts w:ascii="Times New Roman" w:hAnsi="Times New Roman" w:cs="Times New Roman"/>
          <w:sz w:val="24"/>
          <w:szCs w:val="24"/>
          <w:lang w:val="en-GB"/>
        </w:rPr>
        <w:t xml:space="preserve"> </w:t>
      </w:r>
      <w:r w:rsidR="00784A30">
        <w:rPr>
          <w:rFonts w:ascii="Times New Roman" w:hAnsi="Times New Roman" w:cs="Times New Roman"/>
          <w:sz w:val="24"/>
          <w:szCs w:val="24"/>
          <w:lang w:val="en-GB"/>
        </w:rPr>
        <w:t>the General Court, as appeal court, was correct in finding an infringement of the principle of the right to a tribunal established by law on the basis of an irregularity affecting the appointment procedure of one of the members of the CST who ruled on the case.</w:t>
      </w:r>
      <w:r w:rsidR="0041561D">
        <w:rPr>
          <w:rFonts w:ascii="Times New Roman" w:hAnsi="Times New Roman" w:cs="Times New Roman"/>
          <w:sz w:val="24"/>
          <w:szCs w:val="24"/>
          <w:lang w:val="en-GB"/>
        </w:rPr>
        <w:t xml:space="preserve"> Second</w:t>
      </w:r>
      <w:r w:rsidR="00784A30">
        <w:rPr>
          <w:rFonts w:ascii="Times New Roman" w:hAnsi="Times New Roman" w:cs="Times New Roman"/>
          <w:sz w:val="24"/>
          <w:szCs w:val="24"/>
          <w:lang w:val="en-GB"/>
        </w:rPr>
        <w:t xml:space="preserve">, the review should assess whether the appointment of a judge may form the subject of a review of indirect legality </w:t>
      </w:r>
      <w:r w:rsidR="0041561D">
        <w:rPr>
          <w:rFonts w:ascii="Times New Roman" w:hAnsi="Times New Roman" w:cs="Times New Roman"/>
          <w:sz w:val="24"/>
          <w:szCs w:val="24"/>
          <w:lang w:val="en-GB"/>
        </w:rPr>
        <w:t xml:space="preserve">or whether such a review for illegality is excluded or limited to certain types of irregularity in order to ensure legal certainty and the force of </w:t>
      </w:r>
      <w:r w:rsidR="0041561D">
        <w:rPr>
          <w:rFonts w:ascii="Times New Roman" w:hAnsi="Times New Roman" w:cs="Times New Roman"/>
          <w:i/>
          <w:sz w:val="24"/>
          <w:szCs w:val="24"/>
          <w:lang w:val="en-GB"/>
        </w:rPr>
        <w:t>res judicata</w:t>
      </w:r>
      <w:r w:rsidR="0041561D">
        <w:rPr>
          <w:rFonts w:ascii="Times New Roman" w:hAnsi="Times New Roman" w:cs="Times New Roman"/>
          <w:sz w:val="24"/>
          <w:szCs w:val="24"/>
          <w:lang w:val="en-GB"/>
        </w:rPr>
        <w:t xml:space="preserve">. </w:t>
      </w:r>
      <w:r w:rsidR="007C76F2">
        <w:rPr>
          <w:rFonts w:ascii="Times New Roman" w:hAnsi="Times New Roman" w:cs="Times New Roman"/>
          <w:sz w:val="24"/>
          <w:szCs w:val="24"/>
          <w:lang w:val="en-GB"/>
        </w:rPr>
        <w:t>T</w:t>
      </w:r>
      <w:r w:rsidR="0041561D">
        <w:rPr>
          <w:rFonts w:ascii="Times New Roman" w:hAnsi="Times New Roman" w:cs="Times New Roman"/>
          <w:sz w:val="24"/>
          <w:szCs w:val="24"/>
          <w:lang w:val="en-GB"/>
        </w:rPr>
        <w:t xml:space="preserve">hese review proceedings </w:t>
      </w:r>
      <w:r w:rsidR="007C76F2">
        <w:rPr>
          <w:rFonts w:ascii="Times New Roman" w:hAnsi="Times New Roman" w:cs="Times New Roman"/>
          <w:sz w:val="24"/>
          <w:szCs w:val="24"/>
          <w:lang w:val="en-GB"/>
        </w:rPr>
        <w:t>have</w:t>
      </w:r>
      <w:r w:rsidR="0041561D">
        <w:rPr>
          <w:rFonts w:ascii="Times New Roman" w:hAnsi="Times New Roman" w:cs="Times New Roman"/>
          <w:sz w:val="24"/>
          <w:szCs w:val="24"/>
          <w:lang w:val="en-GB"/>
        </w:rPr>
        <w:t xml:space="preserve"> led to the judgment that is annotated here. </w:t>
      </w:r>
    </w:p>
    <w:p w14:paraId="324DECD4" w14:textId="3CD5D40D" w:rsidR="00303F18" w:rsidRDefault="0041561D"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Several months after the judgments of the General Court, the European Court of Human Rights ruled on an application raising similar questions in the case of </w:t>
      </w:r>
      <w:proofErr w:type="spellStart"/>
      <w:r w:rsidRPr="0041561D">
        <w:rPr>
          <w:rFonts w:ascii="Times New Roman" w:hAnsi="Times New Roman" w:cs="Times New Roman"/>
          <w:i/>
          <w:sz w:val="24"/>
          <w:szCs w:val="24"/>
          <w:lang w:val="en-GB"/>
        </w:rPr>
        <w:t>Ástráðsson</w:t>
      </w:r>
      <w:proofErr w:type="spellEnd"/>
      <w:r>
        <w:rPr>
          <w:rFonts w:ascii="Times New Roman" w:hAnsi="Times New Roman" w:cs="Times New Roman"/>
          <w:sz w:val="24"/>
          <w:szCs w:val="24"/>
          <w:lang w:val="en-GB"/>
        </w:rPr>
        <w:t>.</w:t>
      </w:r>
      <w:r>
        <w:rPr>
          <w:rStyle w:val="Voetnootmarkering"/>
          <w:rFonts w:ascii="Times New Roman" w:hAnsi="Times New Roman" w:cs="Times New Roman"/>
          <w:sz w:val="24"/>
          <w:szCs w:val="24"/>
          <w:lang w:val="en-GB"/>
        </w:rPr>
        <w:footnoteReference w:id="14"/>
      </w:r>
      <w:r>
        <w:rPr>
          <w:rFonts w:ascii="Times New Roman" w:hAnsi="Times New Roman" w:cs="Times New Roman"/>
          <w:sz w:val="24"/>
          <w:szCs w:val="24"/>
          <w:lang w:val="en-GB"/>
        </w:rPr>
        <w:t xml:space="preserve"> </w:t>
      </w:r>
      <w:r w:rsidR="00E77ADC">
        <w:rPr>
          <w:rFonts w:ascii="Times New Roman" w:hAnsi="Times New Roman" w:cs="Times New Roman"/>
          <w:sz w:val="24"/>
          <w:szCs w:val="24"/>
          <w:lang w:val="en-GB"/>
        </w:rPr>
        <w:t xml:space="preserve">This case addressed the composition of a newly established Court of Appeal in Iceland. According to domestic legislation it would be composed of 15 judges. </w:t>
      </w:r>
      <w:r w:rsidR="002A4EA2">
        <w:rPr>
          <w:rFonts w:ascii="Times New Roman" w:hAnsi="Times New Roman" w:cs="Times New Roman"/>
          <w:sz w:val="24"/>
          <w:szCs w:val="24"/>
          <w:lang w:val="en-GB"/>
        </w:rPr>
        <w:t>A committee of experts had been set up to evaluate the candidates and draw up a list of the 15 best-qualified. The Minister of Justice was in principle not allowed to appoint a candidate who had not been considered as most qualified by the committee. However, the legislation allowed, by way of exception, that Parliament accepted the Minister’s proposal for</w:t>
      </w:r>
      <w:r w:rsidR="003D7092">
        <w:rPr>
          <w:rFonts w:ascii="Times New Roman" w:hAnsi="Times New Roman" w:cs="Times New Roman"/>
          <w:sz w:val="24"/>
          <w:szCs w:val="24"/>
          <w:lang w:val="en-GB"/>
        </w:rPr>
        <w:t xml:space="preserve"> the</w:t>
      </w:r>
      <w:r w:rsidR="002A4EA2">
        <w:rPr>
          <w:rFonts w:ascii="Times New Roman" w:hAnsi="Times New Roman" w:cs="Times New Roman"/>
          <w:sz w:val="24"/>
          <w:szCs w:val="24"/>
          <w:lang w:val="en-GB"/>
        </w:rPr>
        <w:t xml:space="preserve"> appointment of another candidate on the condition that he or she fulfilled the minimum requirements to be appointed to a judicial post. Ultimately, the committee assessed 33 candidates and drew up a list of the 15 best-qualified. However, the Minister deviated from that list and presented to Parliament a list which </w:t>
      </w:r>
      <w:r w:rsidR="00361AD7">
        <w:rPr>
          <w:rFonts w:ascii="Times New Roman" w:hAnsi="Times New Roman" w:cs="Times New Roman"/>
          <w:sz w:val="24"/>
          <w:szCs w:val="24"/>
          <w:lang w:val="en-GB"/>
        </w:rPr>
        <w:t>contained</w:t>
      </w:r>
      <w:r w:rsidR="002A4EA2">
        <w:rPr>
          <w:rFonts w:ascii="Times New Roman" w:hAnsi="Times New Roman" w:cs="Times New Roman"/>
          <w:sz w:val="24"/>
          <w:szCs w:val="24"/>
          <w:lang w:val="en-GB"/>
        </w:rPr>
        <w:t xml:space="preserve"> only 11 of </w:t>
      </w:r>
      <w:r w:rsidR="003D7092">
        <w:rPr>
          <w:rFonts w:ascii="Times New Roman" w:hAnsi="Times New Roman" w:cs="Times New Roman"/>
          <w:sz w:val="24"/>
          <w:szCs w:val="24"/>
          <w:lang w:val="en-GB"/>
        </w:rPr>
        <w:t xml:space="preserve">the </w:t>
      </w:r>
      <w:r w:rsidR="002A4EA2">
        <w:rPr>
          <w:rFonts w:ascii="Times New Roman" w:hAnsi="Times New Roman" w:cs="Times New Roman"/>
          <w:sz w:val="24"/>
          <w:szCs w:val="24"/>
          <w:lang w:val="en-GB"/>
        </w:rPr>
        <w:t xml:space="preserve">candidates that were originally proposed by the committee and four who, although qualified, had not been selected. The Parliament </w:t>
      </w:r>
      <w:r w:rsidR="00303F18">
        <w:rPr>
          <w:rFonts w:ascii="Times New Roman" w:hAnsi="Times New Roman" w:cs="Times New Roman"/>
          <w:sz w:val="24"/>
          <w:szCs w:val="24"/>
          <w:lang w:val="en-GB"/>
        </w:rPr>
        <w:t>appointed the members on</w:t>
      </w:r>
      <w:r w:rsidR="002A4EA2">
        <w:rPr>
          <w:rFonts w:ascii="Times New Roman" w:hAnsi="Times New Roman" w:cs="Times New Roman"/>
          <w:sz w:val="24"/>
          <w:szCs w:val="24"/>
          <w:lang w:val="en-GB"/>
        </w:rPr>
        <w:t xml:space="preserve"> the list as it had been proposed </w:t>
      </w:r>
      <w:r w:rsidR="002A4EA2">
        <w:rPr>
          <w:rFonts w:ascii="Times New Roman" w:hAnsi="Times New Roman" w:cs="Times New Roman"/>
          <w:sz w:val="24"/>
          <w:szCs w:val="24"/>
          <w:lang w:val="en-GB"/>
        </w:rPr>
        <w:lastRenderedPageBreak/>
        <w:t>by the Minister</w:t>
      </w:r>
      <w:r w:rsidR="00303F18">
        <w:rPr>
          <w:rFonts w:ascii="Times New Roman" w:hAnsi="Times New Roman" w:cs="Times New Roman"/>
          <w:sz w:val="24"/>
          <w:szCs w:val="24"/>
          <w:lang w:val="en-GB"/>
        </w:rPr>
        <w:t xml:space="preserve"> as judges of the Court of Appeal</w:t>
      </w:r>
      <w:r w:rsidR="002A4EA2">
        <w:rPr>
          <w:rFonts w:ascii="Times New Roman" w:hAnsi="Times New Roman" w:cs="Times New Roman"/>
          <w:sz w:val="24"/>
          <w:szCs w:val="24"/>
          <w:lang w:val="en-GB"/>
        </w:rPr>
        <w:t xml:space="preserve">. However, it approved this list in its entirety as opposed to </w:t>
      </w:r>
      <w:r w:rsidR="00303F18">
        <w:rPr>
          <w:rFonts w:ascii="Times New Roman" w:hAnsi="Times New Roman" w:cs="Times New Roman"/>
          <w:sz w:val="24"/>
          <w:szCs w:val="24"/>
          <w:lang w:val="en-GB"/>
        </w:rPr>
        <w:t xml:space="preserve">each proposed candidate individually, </w:t>
      </w:r>
      <w:r w:rsidR="003D7092">
        <w:rPr>
          <w:rFonts w:ascii="Times New Roman" w:hAnsi="Times New Roman" w:cs="Times New Roman"/>
          <w:sz w:val="24"/>
          <w:szCs w:val="24"/>
          <w:lang w:val="en-GB"/>
        </w:rPr>
        <w:t>as</w:t>
      </w:r>
      <w:r w:rsidR="00303F18">
        <w:rPr>
          <w:rFonts w:ascii="Times New Roman" w:hAnsi="Times New Roman" w:cs="Times New Roman"/>
          <w:sz w:val="24"/>
          <w:szCs w:val="24"/>
          <w:lang w:val="en-GB"/>
        </w:rPr>
        <w:t xml:space="preserve"> the legislation required.</w:t>
      </w:r>
    </w:p>
    <w:p w14:paraId="728359A7" w14:textId="7C12A5F1" w:rsidR="00303F18" w:rsidRDefault="00303F18"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The application itself concerned an individual who had</w:t>
      </w:r>
      <w:r w:rsidR="00E77ADC">
        <w:rPr>
          <w:rFonts w:ascii="Times New Roman" w:hAnsi="Times New Roman" w:cs="Times New Roman"/>
          <w:sz w:val="24"/>
          <w:szCs w:val="24"/>
          <w:lang w:val="en-GB"/>
        </w:rPr>
        <w:t xml:space="preserve"> been brought before the Icelandic Court of Appeal on charges of driving a vehicle without holding a valid driver’s licence and under the influence of narcotics. </w:t>
      </w:r>
      <w:r>
        <w:rPr>
          <w:rFonts w:ascii="Times New Roman" w:hAnsi="Times New Roman" w:cs="Times New Roman"/>
          <w:sz w:val="24"/>
          <w:szCs w:val="24"/>
          <w:lang w:val="en-GB"/>
        </w:rPr>
        <w:t>The panel of judges that heard his appeal included one of the jud</w:t>
      </w:r>
      <w:r w:rsidR="003D7092">
        <w:rPr>
          <w:rFonts w:ascii="Times New Roman" w:hAnsi="Times New Roman" w:cs="Times New Roman"/>
          <w:sz w:val="24"/>
          <w:szCs w:val="24"/>
          <w:lang w:val="en-GB"/>
        </w:rPr>
        <w:t>ges who had not been mentioned i</w:t>
      </w:r>
      <w:r>
        <w:rPr>
          <w:rFonts w:ascii="Times New Roman" w:hAnsi="Times New Roman" w:cs="Times New Roman"/>
          <w:sz w:val="24"/>
          <w:szCs w:val="24"/>
          <w:lang w:val="en-GB"/>
        </w:rPr>
        <w:t xml:space="preserve">n the original list of 15 members by the committee. The defence counsel contested the presence of this member on the panel, but </w:t>
      </w:r>
      <w:r w:rsidR="00502FFF">
        <w:rPr>
          <w:rFonts w:ascii="Times New Roman" w:hAnsi="Times New Roman" w:cs="Times New Roman"/>
          <w:sz w:val="24"/>
          <w:szCs w:val="24"/>
          <w:lang w:val="en-GB"/>
        </w:rPr>
        <w:t>this</w:t>
      </w:r>
      <w:r>
        <w:rPr>
          <w:rFonts w:ascii="Times New Roman" w:hAnsi="Times New Roman" w:cs="Times New Roman"/>
          <w:sz w:val="24"/>
          <w:szCs w:val="24"/>
          <w:lang w:val="en-GB"/>
        </w:rPr>
        <w:t xml:space="preserve"> claim</w:t>
      </w:r>
      <w:r w:rsidR="00502FFF">
        <w:rPr>
          <w:rFonts w:ascii="Times New Roman" w:hAnsi="Times New Roman" w:cs="Times New Roman"/>
          <w:sz w:val="24"/>
          <w:szCs w:val="24"/>
          <w:lang w:val="en-GB"/>
        </w:rPr>
        <w:t xml:space="preserve"> was</w:t>
      </w:r>
      <w:r>
        <w:rPr>
          <w:rFonts w:ascii="Times New Roman" w:hAnsi="Times New Roman" w:cs="Times New Roman"/>
          <w:sz w:val="24"/>
          <w:szCs w:val="24"/>
          <w:lang w:val="en-GB"/>
        </w:rPr>
        <w:t xml:space="preserve"> rejected by the Court of Appeal itself and subsequently by the Supreme Court. He </w:t>
      </w:r>
      <w:r w:rsidR="006129C6">
        <w:rPr>
          <w:rFonts w:ascii="Times New Roman" w:hAnsi="Times New Roman" w:cs="Times New Roman"/>
          <w:sz w:val="24"/>
          <w:szCs w:val="24"/>
          <w:lang w:val="en-GB"/>
        </w:rPr>
        <w:t>then made an application to the ECtHR.</w:t>
      </w:r>
    </w:p>
    <w:p w14:paraId="3413574D" w14:textId="1FF033E2" w:rsidR="006129C6" w:rsidRDefault="006129C6"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its judgment, the Strasbourg Court held that the concept of ‘establishment’ within </w:t>
      </w:r>
      <w:r w:rsidR="008E6E7F">
        <w:rPr>
          <w:rFonts w:ascii="Times New Roman" w:hAnsi="Times New Roman" w:cs="Times New Roman"/>
          <w:sz w:val="24"/>
          <w:szCs w:val="24"/>
          <w:lang w:val="en-GB"/>
        </w:rPr>
        <w:t>the right to a tribunal established by law</w:t>
      </w:r>
      <w:r>
        <w:rPr>
          <w:rFonts w:ascii="Times New Roman" w:hAnsi="Times New Roman" w:cs="Times New Roman"/>
          <w:sz w:val="24"/>
          <w:szCs w:val="24"/>
          <w:lang w:val="en-GB"/>
        </w:rPr>
        <w:t xml:space="preserve"> encompasses, by its very nature, the process of appointing judges within the domestic judicial system which must be conducted in compliance with the applicable rules of national law.</w:t>
      </w:r>
      <w:r w:rsidR="00110F69">
        <w:rPr>
          <w:rStyle w:val="Voetnootmarkering"/>
          <w:rFonts w:ascii="Times New Roman" w:hAnsi="Times New Roman" w:cs="Times New Roman"/>
          <w:sz w:val="24"/>
          <w:szCs w:val="24"/>
          <w:lang w:val="en-GB"/>
        </w:rPr>
        <w:footnoteReference w:id="15"/>
      </w:r>
      <w:r>
        <w:rPr>
          <w:rFonts w:ascii="Times New Roman" w:hAnsi="Times New Roman" w:cs="Times New Roman"/>
          <w:sz w:val="24"/>
          <w:szCs w:val="24"/>
          <w:lang w:val="en-GB"/>
        </w:rPr>
        <w:t xml:space="preserve"> It is important to stress here that this was a new principle in the case law of the </w:t>
      </w:r>
      <w:r w:rsidR="00361AD7">
        <w:rPr>
          <w:rFonts w:ascii="Times New Roman" w:hAnsi="Times New Roman" w:cs="Times New Roman"/>
          <w:sz w:val="24"/>
          <w:szCs w:val="24"/>
          <w:lang w:val="en-GB"/>
        </w:rPr>
        <w:t>ECtHR</w:t>
      </w:r>
      <w:r>
        <w:rPr>
          <w:rFonts w:ascii="Times New Roman" w:hAnsi="Times New Roman" w:cs="Times New Roman"/>
          <w:sz w:val="24"/>
          <w:szCs w:val="24"/>
          <w:lang w:val="en-GB"/>
        </w:rPr>
        <w:t xml:space="preserve"> and that it </w:t>
      </w:r>
      <w:r w:rsidR="00095DFC">
        <w:rPr>
          <w:rFonts w:ascii="Times New Roman" w:hAnsi="Times New Roman" w:cs="Times New Roman"/>
          <w:sz w:val="24"/>
          <w:szCs w:val="24"/>
          <w:lang w:val="en-GB"/>
        </w:rPr>
        <w:t>only referred to</w:t>
      </w:r>
      <w:r w:rsidR="00110F69">
        <w:rPr>
          <w:rFonts w:ascii="Times New Roman" w:hAnsi="Times New Roman" w:cs="Times New Roman"/>
          <w:sz w:val="24"/>
          <w:szCs w:val="24"/>
          <w:lang w:val="en-GB"/>
        </w:rPr>
        <w:t xml:space="preserve"> jurisprudence of Union </w:t>
      </w:r>
      <w:r>
        <w:rPr>
          <w:rFonts w:ascii="Times New Roman" w:hAnsi="Times New Roman" w:cs="Times New Roman"/>
          <w:sz w:val="24"/>
          <w:szCs w:val="24"/>
          <w:lang w:val="en-GB"/>
        </w:rPr>
        <w:t>Court</w:t>
      </w:r>
      <w:r w:rsidR="00110F69">
        <w:rPr>
          <w:rFonts w:ascii="Times New Roman" w:hAnsi="Times New Roman" w:cs="Times New Roman"/>
          <w:sz w:val="24"/>
          <w:szCs w:val="24"/>
          <w:lang w:val="en-GB"/>
        </w:rPr>
        <w:t>s</w:t>
      </w:r>
      <w:r w:rsidR="00095DFC">
        <w:rPr>
          <w:rFonts w:ascii="Times New Roman" w:hAnsi="Times New Roman" w:cs="Times New Roman"/>
          <w:sz w:val="24"/>
          <w:szCs w:val="24"/>
          <w:lang w:val="en-GB"/>
        </w:rPr>
        <w:t xml:space="preserve"> at this point</w:t>
      </w:r>
      <w:r>
        <w:rPr>
          <w:rFonts w:ascii="Times New Roman" w:hAnsi="Times New Roman" w:cs="Times New Roman"/>
          <w:sz w:val="24"/>
          <w:szCs w:val="24"/>
          <w:lang w:val="en-GB"/>
        </w:rPr>
        <w:t>.</w:t>
      </w:r>
      <w:r>
        <w:rPr>
          <w:rStyle w:val="Voetnootmarkering"/>
          <w:rFonts w:ascii="Times New Roman" w:hAnsi="Times New Roman" w:cs="Times New Roman"/>
          <w:sz w:val="24"/>
          <w:szCs w:val="24"/>
          <w:lang w:val="en-GB"/>
        </w:rPr>
        <w:footnoteReference w:id="16"/>
      </w:r>
      <w:r w:rsidR="008E6E7F">
        <w:rPr>
          <w:rFonts w:ascii="Times New Roman" w:hAnsi="Times New Roman" w:cs="Times New Roman"/>
          <w:sz w:val="24"/>
          <w:szCs w:val="24"/>
          <w:lang w:val="en-GB"/>
        </w:rPr>
        <w:t xml:space="preserve"> </w:t>
      </w:r>
      <w:r w:rsidR="00110F69">
        <w:rPr>
          <w:rFonts w:ascii="Times New Roman" w:hAnsi="Times New Roman" w:cs="Times New Roman"/>
          <w:sz w:val="24"/>
          <w:szCs w:val="24"/>
          <w:lang w:val="en-GB"/>
        </w:rPr>
        <w:t>In principle, a violation of the domestic legal provisions relating to the establishment and competence of judicial organs gives rise to a violation of Article 6(1) ECHR. However, given the Court</w:t>
      </w:r>
      <w:r w:rsidR="00F2528F">
        <w:rPr>
          <w:rFonts w:ascii="Times New Roman" w:hAnsi="Times New Roman" w:cs="Times New Roman"/>
          <w:sz w:val="24"/>
          <w:szCs w:val="24"/>
          <w:lang w:val="en-GB"/>
        </w:rPr>
        <w:t>’s</w:t>
      </w:r>
      <w:r w:rsidR="00110F69">
        <w:rPr>
          <w:rFonts w:ascii="Times New Roman" w:hAnsi="Times New Roman" w:cs="Times New Roman"/>
          <w:sz w:val="24"/>
          <w:szCs w:val="24"/>
          <w:lang w:val="en-GB"/>
        </w:rPr>
        <w:t xml:space="preserve"> subsidiary position, such a violation must be flagrant.</w:t>
      </w:r>
      <w:r w:rsidR="00110F69">
        <w:rPr>
          <w:rStyle w:val="Voetnootmarkering"/>
          <w:rFonts w:ascii="Times New Roman" w:hAnsi="Times New Roman" w:cs="Times New Roman"/>
          <w:sz w:val="24"/>
          <w:szCs w:val="24"/>
          <w:lang w:val="en-GB"/>
        </w:rPr>
        <w:footnoteReference w:id="17"/>
      </w:r>
      <w:r w:rsidR="00110F69">
        <w:rPr>
          <w:rFonts w:ascii="Times New Roman" w:hAnsi="Times New Roman" w:cs="Times New Roman"/>
          <w:sz w:val="24"/>
          <w:szCs w:val="24"/>
          <w:lang w:val="en-GB"/>
        </w:rPr>
        <w:t xml:space="preserve"> In examining whether the establishment of a tribunal was based on such a flagrant violation of domestic la</w:t>
      </w:r>
      <w:r w:rsidR="00C91B5E">
        <w:rPr>
          <w:rFonts w:ascii="Times New Roman" w:hAnsi="Times New Roman" w:cs="Times New Roman"/>
          <w:sz w:val="24"/>
          <w:szCs w:val="24"/>
          <w:lang w:val="en-GB"/>
        </w:rPr>
        <w:t>w</w:t>
      </w:r>
      <w:r w:rsidR="00110F69">
        <w:rPr>
          <w:rFonts w:ascii="Times New Roman" w:hAnsi="Times New Roman" w:cs="Times New Roman"/>
          <w:sz w:val="24"/>
          <w:szCs w:val="24"/>
          <w:lang w:val="en-GB"/>
        </w:rPr>
        <w:t>, the Court take</w:t>
      </w:r>
      <w:r w:rsidR="00361AD7">
        <w:rPr>
          <w:rFonts w:ascii="Times New Roman" w:hAnsi="Times New Roman" w:cs="Times New Roman"/>
          <w:sz w:val="24"/>
          <w:szCs w:val="24"/>
          <w:lang w:val="en-GB"/>
        </w:rPr>
        <w:t>s</w:t>
      </w:r>
      <w:r w:rsidR="00110F69">
        <w:rPr>
          <w:rFonts w:ascii="Times New Roman" w:hAnsi="Times New Roman" w:cs="Times New Roman"/>
          <w:sz w:val="24"/>
          <w:szCs w:val="24"/>
          <w:lang w:val="en-GB"/>
        </w:rPr>
        <w:t xml:space="preserve"> into account whether the breach of the domestic rules on the appointment of judges was deliberate or constituted a manifest disregard of the applicable national law. </w:t>
      </w:r>
      <w:r w:rsidR="00AD308F">
        <w:rPr>
          <w:rFonts w:ascii="Times New Roman" w:hAnsi="Times New Roman" w:cs="Times New Roman"/>
          <w:sz w:val="24"/>
          <w:szCs w:val="24"/>
          <w:lang w:val="en-GB"/>
        </w:rPr>
        <w:t xml:space="preserve">When applying these principles to the case at hand, the Court concluded that the </w:t>
      </w:r>
      <w:r w:rsidR="00174023">
        <w:rPr>
          <w:rFonts w:ascii="Times New Roman" w:hAnsi="Times New Roman" w:cs="Times New Roman"/>
          <w:sz w:val="24"/>
          <w:szCs w:val="24"/>
          <w:lang w:val="en-GB"/>
        </w:rPr>
        <w:t>procedural violations</w:t>
      </w:r>
      <w:r w:rsidR="00AD308F">
        <w:rPr>
          <w:rFonts w:ascii="Times New Roman" w:hAnsi="Times New Roman" w:cs="Times New Roman"/>
          <w:sz w:val="24"/>
          <w:szCs w:val="24"/>
          <w:lang w:val="en-GB"/>
        </w:rPr>
        <w:t xml:space="preserve"> of the </w:t>
      </w:r>
      <w:r w:rsidR="00174023">
        <w:rPr>
          <w:rFonts w:ascii="Times New Roman" w:hAnsi="Times New Roman" w:cs="Times New Roman"/>
          <w:sz w:val="24"/>
          <w:szCs w:val="24"/>
          <w:lang w:val="en-GB"/>
        </w:rPr>
        <w:t>domestic legislation by the Icelandic Minister of Justice and Parliament during the appointment process amounted to a flagrant breach and therefore violated the right to a tribunal established by law.</w:t>
      </w:r>
      <w:r w:rsidR="00174023">
        <w:rPr>
          <w:rStyle w:val="Voetnootmarkering"/>
          <w:rFonts w:ascii="Times New Roman" w:hAnsi="Times New Roman" w:cs="Times New Roman"/>
          <w:sz w:val="24"/>
          <w:szCs w:val="24"/>
          <w:lang w:val="en-GB"/>
        </w:rPr>
        <w:footnoteReference w:id="18"/>
      </w:r>
      <w:r w:rsidR="00174023">
        <w:rPr>
          <w:rFonts w:ascii="Times New Roman" w:hAnsi="Times New Roman" w:cs="Times New Roman"/>
          <w:sz w:val="24"/>
          <w:szCs w:val="24"/>
          <w:lang w:val="en-GB"/>
        </w:rPr>
        <w:t xml:space="preserve"> </w:t>
      </w:r>
    </w:p>
    <w:p w14:paraId="6508F3B8" w14:textId="7FE62EFB" w:rsidR="00C91B5E" w:rsidRDefault="00174023" w:rsidP="00C6134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ECtHR’s judgment in </w:t>
      </w:r>
      <w:proofErr w:type="spellStart"/>
      <w:r w:rsidRPr="00174023">
        <w:rPr>
          <w:rFonts w:ascii="Times New Roman" w:hAnsi="Times New Roman" w:cs="Times New Roman"/>
          <w:i/>
          <w:sz w:val="24"/>
          <w:szCs w:val="24"/>
          <w:lang w:val="en-GB"/>
        </w:rPr>
        <w:t>Ástráðsson</w:t>
      </w:r>
      <w:proofErr w:type="spellEnd"/>
      <w:r>
        <w:rPr>
          <w:rFonts w:ascii="Times New Roman" w:hAnsi="Times New Roman" w:cs="Times New Roman"/>
          <w:sz w:val="24"/>
          <w:szCs w:val="24"/>
          <w:lang w:val="en-GB"/>
        </w:rPr>
        <w:t xml:space="preserve"> was not unanimous. Two judges strongly opposed the majority’</w:t>
      </w:r>
      <w:r w:rsidR="00BF19F0">
        <w:rPr>
          <w:rFonts w:ascii="Times New Roman" w:hAnsi="Times New Roman" w:cs="Times New Roman"/>
          <w:sz w:val="24"/>
          <w:szCs w:val="24"/>
          <w:lang w:val="en-GB"/>
        </w:rPr>
        <w:t>s approach, stating that they opened a Pandora’s box.</w:t>
      </w:r>
      <w:r w:rsidR="00BF19F0">
        <w:rPr>
          <w:rStyle w:val="Voetnootmarkering"/>
          <w:rFonts w:ascii="Times New Roman" w:hAnsi="Times New Roman" w:cs="Times New Roman"/>
          <w:sz w:val="24"/>
          <w:szCs w:val="24"/>
          <w:lang w:val="en-GB"/>
        </w:rPr>
        <w:footnoteReference w:id="19"/>
      </w:r>
      <w:r w:rsidR="00BF19F0">
        <w:rPr>
          <w:rFonts w:ascii="Times New Roman" w:hAnsi="Times New Roman" w:cs="Times New Roman"/>
          <w:sz w:val="24"/>
          <w:szCs w:val="24"/>
          <w:lang w:val="en-GB"/>
        </w:rPr>
        <w:t xml:space="preserve"> After the judgment, the Icelandic government submitted a request for referral of the case to the Grand Chamber. On 9 September 2019, six months after the judgment, this request was accepted by the Grand Chamber Panel.</w:t>
      </w:r>
      <w:r w:rsidR="00BF19F0">
        <w:rPr>
          <w:rStyle w:val="Voetnootmarkering"/>
          <w:rFonts w:ascii="Times New Roman" w:hAnsi="Times New Roman" w:cs="Times New Roman"/>
          <w:sz w:val="24"/>
          <w:szCs w:val="24"/>
          <w:lang w:val="en-GB"/>
        </w:rPr>
        <w:footnoteReference w:id="20"/>
      </w:r>
      <w:r w:rsidR="00BF19F0">
        <w:rPr>
          <w:rFonts w:ascii="Times New Roman" w:hAnsi="Times New Roman" w:cs="Times New Roman"/>
          <w:sz w:val="24"/>
          <w:szCs w:val="24"/>
          <w:lang w:val="en-GB"/>
        </w:rPr>
        <w:t xml:space="preserve"> At the time of writing the case is pending before the Grand Chamber.</w:t>
      </w:r>
    </w:p>
    <w:p w14:paraId="237AD660" w14:textId="77777777" w:rsidR="00C91B5E" w:rsidRDefault="00C91B5E" w:rsidP="00C91B5E">
      <w:pPr>
        <w:pStyle w:val="Lijstalinea"/>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OPINION OF THE ADVOCATE GENERAL</w:t>
      </w:r>
    </w:p>
    <w:p w14:paraId="3A7EF65E" w14:textId="78C8101C" w:rsidR="00C91B5E" w:rsidRDefault="008C7426"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Three days after the decision by the Grand Chamber Panel, Advocate General Sharpston delivered her opinion</w:t>
      </w:r>
      <w:r w:rsidR="00F2528F">
        <w:rPr>
          <w:rFonts w:ascii="Times New Roman" w:hAnsi="Times New Roman" w:cs="Times New Roman"/>
          <w:sz w:val="24"/>
          <w:szCs w:val="24"/>
          <w:lang w:val="en-GB"/>
        </w:rPr>
        <w:t xml:space="preserve"> in the case of </w:t>
      </w:r>
      <w:r w:rsidR="00F2528F">
        <w:rPr>
          <w:rFonts w:ascii="Times New Roman" w:hAnsi="Times New Roman" w:cs="Times New Roman"/>
          <w:i/>
          <w:sz w:val="24"/>
          <w:szCs w:val="24"/>
          <w:lang w:val="en-GB"/>
        </w:rPr>
        <w:t>Review Simpson</w:t>
      </w:r>
      <w:r>
        <w:rPr>
          <w:rFonts w:ascii="Times New Roman" w:hAnsi="Times New Roman" w:cs="Times New Roman"/>
          <w:sz w:val="24"/>
          <w:szCs w:val="24"/>
          <w:lang w:val="en-GB"/>
        </w:rPr>
        <w:t>.</w:t>
      </w:r>
      <w:r w:rsidR="00AC7D47">
        <w:rPr>
          <w:rStyle w:val="Voetnootmarkering"/>
          <w:rFonts w:ascii="Times New Roman" w:hAnsi="Times New Roman" w:cs="Times New Roman"/>
          <w:sz w:val="24"/>
          <w:szCs w:val="24"/>
          <w:lang w:val="en-GB"/>
        </w:rPr>
        <w:footnoteReference w:id="21"/>
      </w:r>
      <w:r>
        <w:rPr>
          <w:rFonts w:ascii="Times New Roman" w:hAnsi="Times New Roman" w:cs="Times New Roman"/>
          <w:sz w:val="24"/>
          <w:szCs w:val="24"/>
          <w:lang w:val="en-GB"/>
        </w:rPr>
        <w:t xml:space="preserve"> </w:t>
      </w:r>
      <w:r w:rsidR="00AC7D47">
        <w:rPr>
          <w:rFonts w:ascii="Times New Roman" w:hAnsi="Times New Roman" w:cs="Times New Roman"/>
          <w:sz w:val="24"/>
          <w:szCs w:val="24"/>
          <w:lang w:val="en-GB"/>
        </w:rPr>
        <w:t>Following the parameters set forth by the Reviewing Chamber, the Opinion addressed two questions: whether the General Court struck the right balance between the right to a tribunal estab</w:t>
      </w:r>
      <w:r w:rsidR="00F80A9C">
        <w:rPr>
          <w:rFonts w:ascii="Times New Roman" w:hAnsi="Times New Roman" w:cs="Times New Roman"/>
          <w:sz w:val="24"/>
          <w:szCs w:val="24"/>
          <w:lang w:val="en-GB"/>
        </w:rPr>
        <w:t>lished by law and the principle</w:t>
      </w:r>
      <w:r w:rsidR="00AC7D47">
        <w:rPr>
          <w:rFonts w:ascii="Times New Roman" w:hAnsi="Times New Roman" w:cs="Times New Roman"/>
          <w:sz w:val="24"/>
          <w:szCs w:val="24"/>
          <w:lang w:val="en-GB"/>
        </w:rPr>
        <w:t xml:space="preserve"> of </w:t>
      </w:r>
      <w:r w:rsidR="00AC7D47" w:rsidRPr="00481F2D">
        <w:rPr>
          <w:rFonts w:ascii="Times New Roman" w:hAnsi="Times New Roman" w:cs="Times New Roman"/>
          <w:sz w:val="24"/>
          <w:szCs w:val="24"/>
          <w:lang w:val="en-GB"/>
        </w:rPr>
        <w:t xml:space="preserve">legal certainty, and whether it was entitled to carry out an incidental review </w:t>
      </w:r>
      <w:r w:rsidR="00481F2D" w:rsidRPr="00481F2D">
        <w:rPr>
          <w:rFonts w:ascii="Times New Roman" w:hAnsi="Times New Roman" w:cs="Times New Roman"/>
          <w:sz w:val="24"/>
          <w:szCs w:val="24"/>
          <w:lang w:val="en-GB"/>
        </w:rPr>
        <w:t>of the appointment decision</w:t>
      </w:r>
      <w:r w:rsidR="00AC7D47" w:rsidRPr="00481F2D">
        <w:rPr>
          <w:rFonts w:ascii="Times New Roman" w:hAnsi="Times New Roman" w:cs="Times New Roman"/>
          <w:sz w:val="24"/>
          <w:szCs w:val="24"/>
          <w:lang w:val="en-GB"/>
        </w:rPr>
        <w:t xml:space="preserve">. </w:t>
      </w:r>
    </w:p>
    <w:p w14:paraId="688B34D3" w14:textId="4381E28E" w:rsidR="00E65099" w:rsidRDefault="007B0C9B"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regards the first of these questions, the Advocate General agreed with the finding of the General Court that the appointment procedure for the judges at the CST had been vitiated by an irregularity. However, she did not agree with the consequences that the </w:t>
      </w:r>
      <w:r w:rsidR="00D83231">
        <w:rPr>
          <w:rFonts w:ascii="Times New Roman" w:hAnsi="Times New Roman" w:cs="Times New Roman"/>
          <w:sz w:val="24"/>
          <w:szCs w:val="24"/>
          <w:lang w:val="en-GB"/>
        </w:rPr>
        <w:t>GC</w:t>
      </w:r>
      <w:r>
        <w:rPr>
          <w:rFonts w:ascii="Times New Roman" w:hAnsi="Times New Roman" w:cs="Times New Roman"/>
          <w:sz w:val="24"/>
          <w:szCs w:val="24"/>
          <w:lang w:val="en-GB"/>
        </w:rPr>
        <w:t xml:space="preserve"> attached to this </w:t>
      </w:r>
      <w:r w:rsidR="00F80A9C">
        <w:rPr>
          <w:rFonts w:ascii="Times New Roman" w:hAnsi="Times New Roman" w:cs="Times New Roman"/>
          <w:sz w:val="24"/>
          <w:szCs w:val="24"/>
          <w:lang w:val="en-GB"/>
        </w:rPr>
        <w:t>finding</w:t>
      </w:r>
      <w:r>
        <w:rPr>
          <w:rFonts w:ascii="Times New Roman" w:hAnsi="Times New Roman" w:cs="Times New Roman"/>
          <w:sz w:val="24"/>
          <w:szCs w:val="24"/>
          <w:lang w:val="en-GB"/>
        </w:rPr>
        <w:t xml:space="preserve">. </w:t>
      </w:r>
      <w:r w:rsidR="00003D8B">
        <w:rPr>
          <w:rFonts w:ascii="Times New Roman" w:hAnsi="Times New Roman" w:cs="Times New Roman"/>
          <w:sz w:val="24"/>
          <w:szCs w:val="24"/>
          <w:lang w:val="en-GB"/>
        </w:rPr>
        <w:t>By deciding that an irregularity during the appoin</w:t>
      </w:r>
      <w:r w:rsidR="00F80A9C">
        <w:rPr>
          <w:rFonts w:ascii="Times New Roman" w:hAnsi="Times New Roman" w:cs="Times New Roman"/>
          <w:sz w:val="24"/>
          <w:szCs w:val="24"/>
          <w:lang w:val="en-GB"/>
        </w:rPr>
        <w:t>tment procedure inevitably led</w:t>
      </w:r>
      <w:r w:rsidR="00003D8B">
        <w:rPr>
          <w:rFonts w:ascii="Times New Roman" w:hAnsi="Times New Roman" w:cs="Times New Roman"/>
          <w:sz w:val="24"/>
          <w:szCs w:val="24"/>
          <w:lang w:val="en-GB"/>
        </w:rPr>
        <w:t xml:space="preserve"> to the setting aside of the judgment by the CST, the </w:t>
      </w:r>
      <w:r w:rsidR="00D83231">
        <w:rPr>
          <w:rFonts w:ascii="Times New Roman" w:hAnsi="Times New Roman" w:cs="Times New Roman"/>
          <w:sz w:val="24"/>
          <w:szCs w:val="24"/>
          <w:lang w:val="en-GB"/>
        </w:rPr>
        <w:t>GC</w:t>
      </w:r>
      <w:r w:rsidR="00003D8B">
        <w:rPr>
          <w:rFonts w:ascii="Times New Roman" w:hAnsi="Times New Roman" w:cs="Times New Roman"/>
          <w:sz w:val="24"/>
          <w:szCs w:val="24"/>
          <w:lang w:val="en-GB"/>
        </w:rPr>
        <w:t xml:space="preserve"> neglect</w:t>
      </w:r>
      <w:r w:rsidR="00F80A9C">
        <w:rPr>
          <w:rFonts w:ascii="Times New Roman" w:hAnsi="Times New Roman" w:cs="Times New Roman"/>
          <w:sz w:val="24"/>
          <w:szCs w:val="24"/>
          <w:lang w:val="en-GB"/>
        </w:rPr>
        <w:t>ed</w:t>
      </w:r>
      <w:r w:rsidR="00003D8B">
        <w:rPr>
          <w:rFonts w:ascii="Times New Roman" w:hAnsi="Times New Roman" w:cs="Times New Roman"/>
          <w:sz w:val="24"/>
          <w:szCs w:val="24"/>
          <w:lang w:val="en-GB"/>
        </w:rPr>
        <w:t xml:space="preserve"> to strike a balance between two equally important principles: the right to a tribunal established by law and the </w:t>
      </w:r>
      <w:r w:rsidR="00F2528F">
        <w:rPr>
          <w:rFonts w:ascii="Times New Roman" w:hAnsi="Times New Roman" w:cs="Times New Roman"/>
          <w:sz w:val="24"/>
          <w:szCs w:val="24"/>
          <w:lang w:val="en-GB"/>
        </w:rPr>
        <w:t>requirement of legal certainty.</w:t>
      </w:r>
      <w:r w:rsidR="00F2528F">
        <w:rPr>
          <w:rStyle w:val="Voetnootmarkering"/>
          <w:rFonts w:ascii="Times New Roman" w:hAnsi="Times New Roman" w:cs="Times New Roman"/>
          <w:sz w:val="24"/>
          <w:szCs w:val="24"/>
          <w:lang w:val="en-GB"/>
        </w:rPr>
        <w:footnoteReference w:id="22"/>
      </w:r>
    </w:p>
    <w:p w14:paraId="11644218" w14:textId="1DB376A7" w:rsidR="00003D8B" w:rsidRDefault="00003D8B"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7C76F2">
        <w:rPr>
          <w:rFonts w:ascii="Times New Roman" w:hAnsi="Times New Roman" w:cs="Times New Roman"/>
          <w:sz w:val="24"/>
          <w:szCs w:val="24"/>
          <w:lang w:val="en-GB"/>
        </w:rPr>
        <w:t xml:space="preserve"> Advocate General then continued</w:t>
      </w:r>
      <w:r>
        <w:rPr>
          <w:rFonts w:ascii="Times New Roman" w:hAnsi="Times New Roman" w:cs="Times New Roman"/>
          <w:sz w:val="24"/>
          <w:szCs w:val="24"/>
          <w:lang w:val="en-GB"/>
        </w:rPr>
        <w:t xml:space="preserve"> </w:t>
      </w:r>
      <w:r w:rsidR="009F057C">
        <w:rPr>
          <w:rFonts w:ascii="Times New Roman" w:hAnsi="Times New Roman" w:cs="Times New Roman"/>
          <w:sz w:val="24"/>
          <w:szCs w:val="24"/>
          <w:lang w:val="en-GB"/>
        </w:rPr>
        <w:t>by elaborating</w:t>
      </w:r>
      <w:r>
        <w:rPr>
          <w:rFonts w:ascii="Times New Roman" w:hAnsi="Times New Roman" w:cs="Times New Roman"/>
          <w:sz w:val="24"/>
          <w:szCs w:val="24"/>
          <w:lang w:val="en-GB"/>
        </w:rPr>
        <w:t xml:space="preserve"> on both principles. </w:t>
      </w:r>
      <w:r w:rsidR="00815510">
        <w:rPr>
          <w:rFonts w:ascii="Times New Roman" w:hAnsi="Times New Roman" w:cs="Times New Roman"/>
          <w:sz w:val="24"/>
          <w:szCs w:val="24"/>
          <w:lang w:val="en-GB"/>
        </w:rPr>
        <w:t>Interestingly, the exposition on the right to a fair trial nowhere refer</w:t>
      </w:r>
      <w:r w:rsidR="007C76F2">
        <w:rPr>
          <w:rFonts w:ascii="Times New Roman" w:hAnsi="Times New Roman" w:cs="Times New Roman"/>
          <w:sz w:val="24"/>
          <w:szCs w:val="24"/>
          <w:lang w:val="en-GB"/>
        </w:rPr>
        <w:t>red</w:t>
      </w:r>
      <w:r w:rsidR="00815510">
        <w:rPr>
          <w:rFonts w:ascii="Times New Roman" w:hAnsi="Times New Roman" w:cs="Times New Roman"/>
          <w:sz w:val="24"/>
          <w:szCs w:val="24"/>
          <w:lang w:val="en-GB"/>
        </w:rPr>
        <w:t xml:space="preserve"> to </w:t>
      </w:r>
      <w:r w:rsidR="003A0B58">
        <w:rPr>
          <w:rFonts w:ascii="Times New Roman" w:hAnsi="Times New Roman" w:cs="Times New Roman"/>
          <w:sz w:val="24"/>
          <w:szCs w:val="24"/>
          <w:lang w:val="en-GB"/>
        </w:rPr>
        <w:t>case law of t</w:t>
      </w:r>
      <w:r w:rsidR="007C76F2">
        <w:rPr>
          <w:rFonts w:ascii="Times New Roman" w:hAnsi="Times New Roman" w:cs="Times New Roman"/>
          <w:sz w:val="24"/>
          <w:szCs w:val="24"/>
          <w:lang w:val="en-GB"/>
        </w:rPr>
        <w:t>he ECJ, but rather solely relied</w:t>
      </w:r>
      <w:r w:rsidR="003A0B58">
        <w:rPr>
          <w:rFonts w:ascii="Times New Roman" w:hAnsi="Times New Roman" w:cs="Times New Roman"/>
          <w:sz w:val="24"/>
          <w:szCs w:val="24"/>
          <w:lang w:val="en-GB"/>
        </w:rPr>
        <w:t xml:space="preserve"> on the principles set forth by the </w:t>
      </w:r>
      <w:r w:rsidR="003A0B58" w:rsidRPr="009F057C">
        <w:rPr>
          <w:rFonts w:ascii="Times New Roman" w:hAnsi="Times New Roman" w:cs="Times New Roman"/>
          <w:sz w:val="24"/>
          <w:szCs w:val="24"/>
          <w:lang w:val="en-GB"/>
        </w:rPr>
        <w:t xml:space="preserve">ECtHR, with special emphasis on the </w:t>
      </w:r>
      <w:proofErr w:type="spellStart"/>
      <w:r w:rsidR="003A0B58" w:rsidRPr="009F057C">
        <w:rPr>
          <w:rFonts w:ascii="Times New Roman" w:hAnsi="Times New Roman" w:cs="Times New Roman"/>
          <w:i/>
          <w:sz w:val="24"/>
          <w:szCs w:val="24"/>
          <w:lang w:val="en-GB"/>
        </w:rPr>
        <w:t>Ástráðsson</w:t>
      </w:r>
      <w:proofErr w:type="spellEnd"/>
      <w:r w:rsidR="003A0B58" w:rsidRPr="009F057C">
        <w:rPr>
          <w:rFonts w:ascii="Times New Roman" w:hAnsi="Times New Roman" w:cs="Times New Roman"/>
          <w:sz w:val="24"/>
          <w:szCs w:val="24"/>
          <w:lang w:val="en-GB"/>
        </w:rPr>
        <w:t xml:space="preserve"> judgment. </w:t>
      </w:r>
      <w:r w:rsidR="002A6ADA">
        <w:rPr>
          <w:rFonts w:ascii="Times New Roman" w:hAnsi="Times New Roman" w:cs="Times New Roman"/>
          <w:sz w:val="24"/>
          <w:szCs w:val="24"/>
          <w:lang w:val="en-GB"/>
        </w:rPr>
        <w:t>Then, she</w:t>
      </w:r>
      <w:r w:rsidR="003A0B58" w:rsidRPr="009F057C">
        <w:rPr>
          <w:rFonts w:ascii="Times New Roman" w:hAnsi="Times New Roman" w:cs="Times New Roman"/>
          <w:sz w:val="24"/>
          <w:szCs w:val="24"/>
          <w:lang w:val="en-GB"/>
        </w:rPr>
        <w:t xml:space="preserve"> </w:t>
      </w:r>
      <w:r w:rsidR="002A6ADA">
        <w:rPr>
          <w:rFonts w:ascii="Times New Roman" w:hAnsi="Times New Roman" w:cs="Times New Roman"/>
          <w:sz w:val="24"/>
          <w:szCs w:val="24"/>
          <w:lang w:val="en-GB"/>
        </w:rPr>
        <w:t>applied</w:t>
      </w:r>
      <w:r w:rsidR="003A0B58" w:rsidRPr="009F057C">
        <w:rPr>
          <w:rFonts w:ascii="Times New Roman" w:hAnsi="Times New Roman" w:cs="Times New Roman"/>
          <w:sz w:val="24"/>
          <w:szCs w:val="24"/>
          <w:lang w:val="en-GB"/>
        </w:rPr>
        <w:t xml:space="preserve"> the </w:t>
      </w:r>
      <w:r w:rsidR="009F057C">
        <w:rPr>
          <w:rFonts w:ascii="Times New Roman" w:hAnsi="Times New Roman" w:cs="Times New Roman"/>
          <w:sz w:val="24"/>
          <w:szCs w:val="24"/>
          <w:lang w:val="en-GB"/>
        </w:rPr>
        <w:t>principles set out</w:t>
      </w:r>
      <w:r w:rsidR="007C76F2">
        <w:rPr>
          <w:rFonts w:ascii="Times New Roman" w:hAnsi="Times New Roman" w:cs="Times New Roman"/>
          <w:sz w:val="24"/>
          <w:szCs w:val="24"/>
          <w:lang w:val="en-GB"/>
        </w:rPr>
        <w:t xml:space="preserve"> in</w:t>
      </w:r>
      <w:r w:rsidR="002A6ADA">
        <w:rPr>
          <w:rFonts w:ascii="Times New Roman" w:hAnsi="Times New Roman" w:cs="Times New Roman"/>
          <w:sz w:val="24"/>
          <w:szCs w:val="24"/>
          <w:lang w:val="en-GB"/>
        </w:rPr>
        <w:t xml:space="preserve"> that judgment to the appointment procedure of the judges of the CST. She concluded that the Council had deliberately </w:t>
      </w:r>
      <w:r w:rsidR="00A01322">
        <w:rPr>
          <w:rFonts w:ascii="Times New Roman" w:hAnsi="Times New Roman" w:cs="Times New Roman"/>
          <w:sz w:val="24"/>
          <w:szCs w:val="24"/>
          <w:lang w:val="en-GB"/>
        </w:rPr>
        <w:t xml:space="preserve">departed from the procedure which it had itself set out in the 2013 call for applications by using the list of candidates to make three appointments instead of two. Nonetheless, this irregularity </w:t>
      </w:r>
      <w:r w:rsidR="009F057C">
        <w:rPr>
          <w:rFonts w:ascii="Times New Roman" w:hAnsi="Times New Roman" w:cs="Times New Roman"/>
          <w:sz w:val="24"/>
          <w:szCs w:val="24"/>
          <w:lang w:val="en-GB"/>
        </w:rPr>
        <w:t>did not give rise to a flagrant violation of the right to a fair trial. In the absence of</w:t>
      </w:r>
      <w:r w:rsidR="00EB5881">
        <w:rPr>
          <w:rFonts w:ascii="Times New Roman" w:hAnsi="Times New Roman" w:cs="Times New Roman"/>
          <w:sz w:val="24"/>
          <w:szCs w:val="24"/>
          <w:lang w:val="en-GB"/>
        </w:rPr>
        <w:t xml:space="preserve"> such</w:t>
      </w:r>
      <w:r w:rsidR="009F057C">
        <w:rPr>
          <w:rFonts w:ascii="Times New Roman" w:hAnsi="Times New Roman" w:cs="Times New Roman"/>
          <w:sz w:val="24"/>
          <w:szCs w:val="24"/>
          <w:lang w:val="en-GB"/>
        </w:rPr>
        <w:t xml:space="preserve"> a flagrant violation, the General Court should have examined whether the right to a fair trial had been observed in the cases in question, which it did not do. </w:t>
      </w:r>
      <w:r w:rsidR="00C172E8">
        <w:rPr>
          <w:rFonts w:ascii="Times New Roman" w:hAnsi="Times New Roman" w:cs="Times New Roman"/>
          <w:sz w:val="24"/>
          <w:szCs w:val="24"/>
          <w:lang w:val="en-GB"/>
        </w:rPr>
        <w:t xml:space="preserve">When examining the principle of legal certainty, the Advocate General </w:t>
      </w:r>
      <w:r w:rsidR="007C76F2">
        <w:rPr>
          <w:rFonts w:ascii="Times New Roman" w:hAnsi="Times New Roman" w:cs="Times New Roman"/>
          <w:sz w:val="24"/>
          <w:szCs w:val="24"/>
          <w:lang w:val="en-GB"/>
        </w:rPr>
        <w:t>found</w:t>
      </w:r>
      <w:r w:rsidR="00C172E8">
        <w:rPr>
          <w:rFonts w:ascii="Times New Roman" w:hAnsi="Times New Roman" w:cs="Times New Roman"/>
          <w:sz w:val="24"/>
          <w:szCs w:val="24"/>
          <w:lang w:val="en-GB"/>
        </w:rPr>
        <w:t xml:space="preserve"> that there is a trend in Member States to try to strike a balance between this principle and the right to a tribunal established by law, when ruling on irregularities relating to the appointment of a judge. In light of these factors, the General Court committed a serious error in law when it found that the irregularity in the appointment procedure to the CST </w:t>
      </w:r>
      <w:r w:rsidR="0047262A">
        <w:rPr>
          <w:rFonts w:ascii="Times New Roman" w:hAnsi="Times New Roman" w:cs="Times New Roman"/>
          <w:sz w:val="24"/>
          <w:szCs w:val="24"/>
          <w:lang w:val="en-GB"/>
        </w:rPr>
        <w:t xml:space="preserve">affected the right to a tribunal established by law and </w:t>
      </w:r>
      <w:r w:rsidR="00C172E8">
        <w:rPr>
          <w:rFonts w:ascii="Times New Roman" w:hAnsi="Times New Roman" w:cs="Times New Roman"/>
          <w:sz w:val="24"/>
          <w:szCs w:val="24"/>
          <w:lang w:val="en-GB"/>
        </w:rPr>
        <w:t xml:space="preserve">should </w:t>
      </w:r>
      <w:r w:rsidR="0047262A">
        <w:rPr>
          <w:rFonts w:ascii="Times New Roman" w:hAnsi="Times New Roman" w:cs="Times New Roman"/>
          <w:sz w:val="24"/>
          <w:szCs w:val="24"/>
          <w:lang w:val="en-GB"/>
        </w:rPr>
        <w:t xml:space="preserve">therefore </w:t>
      </w:r>
      <w:r w:rsidR="00C172E8">
        <w:rPr>
          <w:rFonts w:ascii="Times New Roman" w:hAnsi="Times New Roman" w:cs="Times New Roman"/>
          <w:sz w:val="24"/>
          <w:szCs w:val="24"/>
          <w:lang w:val="en-GB"/>
        </w:rPr>
        <w:t>automatically lead to the setting aside of its judgme</w:t>
      </w:r>
      <w:r w:rsidR="0047262A">
        <w:rPr>
          <w:rFonts w:ascii="Times New Roman" w:hAnsi="Times New Roman" w:cs="Times New Roman"/>
          <w:sz w:val="24"/>
          <w:szCs w:val="24"/>
          <w:lang w:val="en-GB"/>
        </w:rPr>
        <w:t>nts, without seeking to balance that principle against the principle of legal certainty.</w:t>
      </w:r>
      <w:r w:rsidR="0047262A">
        <w:rPr>
          <w:rStyle w:val="Voetnootmarkering"/>
          <w:rFonts w:ascii="Times New Roman" w:hAnsi="Times New Roman" w:cs="Times New Roman"/>
          <w:sz w:val="24"/>
          <w:szCs w:val="24"/>
          <w:lang w:val="en-GB"/>
        </w:rPr>
        <w:footnoteReference w:id="23"/>
      </w:r>
    </w:p>
    <w:p w14:paraId="33BE57A7" w14:textId="2601EF02" w:rsidR="00E83543" w:rsidRPr="00C91B5E" w:rsidRDefault="00481F2D"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regards the second question, </w:t>
      </w:r>
      <w:r w:rsidR="00F2528F">
        <w:rPr>
          <w:rFonts w:ascii="Times New Roman" w:hAnsi="Times New Roman" w:cs="Times New Roman"/>
          <w:sz w:val="24"/>
          <w:szCs w:val="24"/>
          <w:lang w:val="en-GB"/>
        </w:rPr>
        <w:t>concerning</w:t>
      </w:r>
      <w:r>
        <w:rPr>
          <w:rFonts w:ascii="Times New Roman" w:hAnsi="Times New Roman" w:cs="Times New Roman"/>
          <w:sz w:val="24"/>
          <w:szCs w:val="24"/>
          <w:lang w:val="en-GB"/>
        </w:rPr>
        <w:t xml:space="preserve"> the indirect review of legality of the appointment decision, the Advocate General came to the conclusion that Article 277 TFEU is not applicable to such a decision. Appointment decision</w:t>
      </w:r>
      <w:r w:rsidR="00A67258">
        <w:rPr>
          <w:rFonts w:ascii="Times New Roman" w:hAnsi="Times New Roman" w:cs="Times New Roman"/>
          <w:sz w:val="24"/>
          <w:szCs w:val="24"/>
          <w:lang w:val="en-GB"/>
        </w:rPr>
        <w:t>s</w:t>
      </w:r>
      <w:r>
        <w:rPr>
          <w:rFonts w:ascii="Times New Roman" w:hAnsi="Times New Roman" w:cs="Times New Roman"/>
          <w:sz w:val="24"/>
          <w:szCs w:val="24"/>
          <w:lang w:val="en-GB"/>
        </w:rPr>
        <w:t xml:space="preserve"> cannot be seen as a measure of general application and can therefore not form the subject of an incidental review. This, however, does not mean that </w:t>
      </w:r>
      <w:r w:rsidR="00D76F0C">
        <w:rPr>
          <w:rFonts w:ascii="Times New Roman" w:hAnsi="Times New Roman" w:cs="Times New Roman"/>
          <w:sz w:val="24"/>
          <w:szCs w:val="24"/>
          <w:lang w:val="en-GB"/>
        </w:rPr>
        <w:t xml:space="preserve">the lawfulness of the appointment procedure cannot be assessed by relying on the right </w:t>
      </w:r>
      <w:r w:rsidR="00F2528F">
        <w:rPr>
          <w:rFonts w:ascii="Times New Roman" w:hAnsi="Times New Roman" w:cs="Times New Roman"/>
          <w:sz w:val="24"/>
          <w:szCs w:val="24"/>
          <w:lang w:val="en-GB"/>
        </w:rPr>
        <w:t>to</w:t>
      </w:r>
      <w:r w:rsidR="00D76F0C">
        <w:rPr>
          <w:rFonts w:ascii="Times New Roman" w:hAnsi="Times New Roman" w:cs="Times New Roman"/>
          <w:sz w:val="24"/>
          <w:szCs w:val="24"/>
          <w:lang w:val="en-GB"/>
        </w:rPr>
        <w:t xml:space="preserve"> a tribunal established by law</w:t>
      </w:r>
      <w:r w:rsidR="00CA5B9D">
        <w:rPr>
          <w:rFonts w:ascii="Times New Roman" w:hAnsi="Times New Roman" w:cs="Times New Roman"/>
          <w:sz w:val="24"/>
          <w:szCs w:val="24"/>
          <w:lang w:val="en-GB"/>
        </w:rPr>
        <w:t>, as the General Court did</w:t>
      </w:r>
      <w:r w:rsidR="00D76F0C">
        <w:rPr>
          <w:rFonts w:ascii="Times New Roman" w:hAnsi="Times New Roman" w:cs="Times New Roman"/>
          <w:sz w:val="24"/>
          <w:szCs w:val="24"/>
          <w:lang w:val="en-GB"/>
        </w:rPr>
        <w:t xml:space="preserve">. </w:t>
      </w:r>
      <w:r w:rsidR="00CA5B9D">
        <w:rPr>
          <w:rFonts w:ascii="Times New Roman" w:hAnsi="Times New Roman" w:cs="Times New Roman"/>
          <w:sz w:val="24"/>
          <w:szCs w:val="24"/>
          <w:lang w:val="en-GB"/>
        </w:rPr>
        <w:t xml:space="preserve">In this regard, the Advocate General held that the </w:t>
      </w:r>
      <w:r w:rsidR="00F73433">
        <w:rPr>
          <w:rFonts w:ascii="Times New Roman" w:hAnsi="Times New Roman" w:cs="Times New Roman"/>
          <w:sz w:val="24"/>
          <w:szCs w:val="24"/>
          <w:lang w:val="en-GB"/>
        </w:rPr>
        <w:t>GC</w:t>
      </w:r>
      <w:r w:rsidR="00CA5B9D">
        <w:rPr>
          <w:rFonts w:ascii="Times New Roman" w:hAnsi="Times New Roman" w:cs="Times New Roman"/>
          <w:sz w:val="24"/>
          <w:szCs w:val="24"/>
          <w:lang w:val="en-GB"/>
        </w:rPr>
        <w:t xml:space="preserve"> could not rely</w:t>
      </w:r>
      <w:r w:rsidR="00F80A9C">
        <w:rPr>
          <w:rFonts w:ascii="Times New Roman" w:hAnsi="Times New Roman" w:cs="Times New Roman"/>
          <w:sz w:val="24"/>
          <w:szCs w:val="24"/>
          <w:lang w:val="en-GB"/>
        </w:rPr>
        <w:t xml:space="preserve"> as it did</w:t>
      </w:r>
      <w:r w:rsidR="00CA5B9D">
        <w:rPr>
          <w:rFonts w:ascii="Times New Roman" w:hAnsi="Times New Roman" w:cs="Times New Roman"/>
          <w:sz w:val="24"/>
          <w:szCs w:val="24"/>
          <w:lang w:val="en-GB"/>
        </w:rPr>
        <w:t xml:space="preserve"> on the </w:t>
      </w:r>
      <w:proofErr w:type="spellStart"/>
      <w:r w:rsidR="00CA5B9D">
        <w:rPr>
          <w:rFonts w:ascii="Times New Roman" w:hAnsi="Times New Roman" w:cs="Times New Roman"/>
          <w:i/>
          <w:sz w:val="24"/>
          <w:szCs w:val="24"/>
          <w:lang w:val="en-GB"/>
        </w:rPr>
        <w:t>Chronopost</w:t>
      </w:r>
      <w:proofErr w:type="spellEnd"/>
      <w:r w:rsidR="00CA5B9D">
        <w:rPr>
          <w:rFonts w:ascii="Times New Roman" w:hAnsi="Times New Roman" w:cs="Times New Roman"/>
          <w:i/>
          <w:sz w:val="24"/>
          <w:szCs w:val="24"/>
          <w:lang w:val="en-GB"/>
        </w:rPr>
        <w:t xml:space="preserve"> </w:t>
      </w:r>
      <w:r w:rsidR="00CA5B9D">
        <w:rPr>
          <w:rFonts w:ascii="Times New Roman" w:hAnsi="Times New Roman" w:cs="Times New Roman"/>
          <w:sz w:val="24"/>
          <w:szCs w:val="24"/>
          <w:lang w:val="en-GB"/>
        </w:rPr>
        <w:t xml:space="preserve">judgment to examine the lawfulness of the appointment procedure of its own motion. She pointed out that </w:t>
      </w:r>
      <w:r w:rsidR="00F2528F">
        <w:rPr>
          <w:rFonts w:ascii="Times New Roman" w:hAnsi="Times New Roman" w:cs="Times New Roman"/>
          <w:sz w:val="24"/>
          <w:szCs w:val="24"/>
          <w:lang w:val="en-GB"/>
        </w:rPr>
        <w:t>that</w:t>
      </w:r>
      <w:r w:rsidR="00CA5B9D">
        <w:rPr>
          <w:rFonts w:ascii="Times New Roman" w:hAnsi="Times New Roman" w:cs="Times New Roman"/>
          <w:sz w:val="24"/>
          <w:szCs w:val="24"/>
          <w:lang w:val="en-GB"/>
        </w:rPr>
        <w:t xml:space="preserve"> judgment concerned doubts about the independence and impartiality aspects of the right to a fair trial. By extending </w:t>
      </w:r>
      <w:r w:rsidR="00CA5B9D">
        <w:rPr>
          <w:rFonts w:ascii="Times New Roman" w:hAnsi="Times New Roman" w:cs="Times New Roman"/>
          <w:sz w:val="24"/>
          <w:szCs w:val="24"/>
          <w:lang w:val="en-GB"/>
        </w:rPr>
        <w:lastRenderedPageBreak/>
        <w:t>the scope of th</w:t>
      </w:r>
      <w:r w:rsidR="004970D5">
        <w:rPr>
          <w:rFonts w:ascii="Times New Roman" w:hAnsi="Times New Roman" w:cs="Times New Roman"/>
          <w:sz w:val="24"/>
          <w:szCs w:val="24"/>
          <w:lang w:val="en-GB"/>
        </w:rPr>
        <w:t>at</w:t>
      </w:r>
      <w:r w:rsidR="00CA5B9D">
        <w:rPr>
          <w:rFonts w:ascii="Times New Roman" w:hAnsi="Times New Roman" w:cs="Times New Roman"/>
          <w:sz w:val="24"/>
          <w:szCs w:val="24"/>
          <w:lang w:val="en-GB"/>
        </w:rPr>
        <w:t xml:space="preserve"> judgment to questions pertaining to the appointment process of the judges</w:t>
      </w:r>
      <w:r w:rsidR="004970D5">
        <w:rPr>
          <w:rFonts w:ascii="Times New Roman" w:hAnsi="Times New Roman" w:cs="Times New Roman"/>
          <w:sz w:val="24"/>
          <w:szCs w:val="24"/>
          <w:lang w:val="en-GB"/>
        </w:rPr>
        <w:t xml:space="preserve"> and the </w:t>
      </w:r>
      <w:r w:rsidR="000F7557">
        <w:rPr>
          <w:rFonts w:ascii="Times New Roman" w:hAnsi="Times New Roman" w:cs="Times New Roman"/>
          <w:sz w:val="24"/>
          <w:szCs w:val="24"/>
          <w:lang w:val="en-GB"/>
        </w:rPr>
        <w:t>right to a tribunal</w:t>
      </w:r>
      <w:r w:rsidR="004970D5">
        <w:rPr>
          <w:rFonts w:ascii="Times New Roman" w:hAnsi="Times New Roman" w:cs="Times New Roman"/>
          <w:sz w:val="24"/>
          <w:szCs w:val="24"/>
          <w:lang w:val="en-GB"/>
        </w:rPr>
        <w:t xml:space="preserve"> established by law</w:t>
      </w:r>
      <w:r w:rsidR="00CA5B9D">
        <w:rPr>
          <w:rFonts w:ascii="Times New Roman" w:hAnsi="Times New Roman" w:cs="Times New Roman"/>
          <w:sz w:val="24"/>
          <w:szCs w:val="24"/>
          <w:lang w:val="en-GB"/>
        </w:rPr>
        <w:t>, the General Cou</w:t>
      </w:r>
      <w:r w:rsidR="004970D5">
        <w:rPr>
          <w:rFonts w:ascii="Times New Roman" w:hAnsi="Times New Roman" w:cs="Times New Roman"/>
          <w:sz w:val="24"/>
          <w:szCs w:val="24"/>
          <w:lang w:val="en-GB"/>
        </w:rPr>
        <w:t xml:space="preserve">rt had exceeded </w:t>
      </w:r>
      <w:r w:rsidR="00CA5B9D">
        <w:rPr>
          <w:rFonts w:ascii="Times New Roman" w:hAnsi="Times New Roman" w:cs="Times New Roman"/>
          <w:sz w:val="24"/>
          <w:szCs w:val="24"/>
          <w:lang w:val="en-GB"/>
        </w:rPr>
        <w:t>the scope of this judgment and had moreover failed to take into account the presumption of legality which the appointment decision</w:t>
      </w:r>
      <w:r w:rsidR="004970D5">
        <w:rPr>
          <w:rFonts w:ascii="Times New Roman" w:hAnsi="Times New Roman" w:cs="Times New Roman"/>
          <w:sz w:val="24"/>
          <w:szCs w:val="24"/>
          <w:lang w:val="en-GB"/>
        </w:rPr>
        <w:t>s enjoy</w:t>
      </w:r>
      <w:r w:rsidR="00CA5B9D">
        <w:rPr>
          <w:rFonts w:ascii="Times New Roman" w:hAnsi="Times New Roman" w:cs="Times New Roman"/>
          <w:sz w:val="24"/>
          <w:szCs w:val="24"/>
          <w:lang w:val="en-GB"/>
        </w:rPr>
        <w:t xml:space="preserve">. In so doing, it had failed to take into consideration the principle of legal certainty and the authority of </w:t>
      </w:r>
      <w:r w:rsidR="00CA5B9D">
        <w:rPr>
          <w:rFonts w:ascii="Times New Roman" w:hAnsi="Times New Roman" w:cs="Times New Roman"/>
          <w:i/>
          <w:sz w:val="24"/>
          <w:szCs w:val="24"/>
          <w:lang w:val="en-GB"/>
        </w:rPr>
        <w:t>res judicata</w:t>
      </w:r>
      <w:r w:rsidR="00CA5B9D">
        <w:rPr>
          <w:rFonts w:ascii="Times New Roman" w:hAnsi="Times New Roman" w:cs="Times New Roman"/>
          <w:sz w:val="24"/>
          <w:szCs w:val="24"/>
          <w:lang w:val="en-GB"/>
        </w:rPr>
        <w:t>.</w:t>
      </w:r>
      <w:r w:rsidR="000F7557">
        <w:rPr>
          <w:rStyle w:val="Voetnootmarkering"/>
          <w:rFonts w:ascii="Times New Roman" w:hAnsi="Times New Roman" w:cs="Times New Roman"/>
          <w:sz w:val="24"/>
          <w:szCs w:val="24"/>
          <w:lang w:val="en-GB"/>
        </w:rPr>
        <w:footnoteReference w:id="24"/>
      </w:r>
    </w:p>
    <w:p w14:paraId="283583E7" w14:textId="77777777" w:rsidR="00C91B5E" w:rsidRDefault="00C91B5E" w:rsidP="00C91B5E">
      <w:pPr>
        <w:pStyle w:val="Lijstalinea"/>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JUDGMENT OF THE COURT</w:t>
      </w:r>
    </w:p>
    <w:p w14:paraId="12065881" w14:textId="7EAA7C41" w:rsidR="00A741BF" w:rsidRDefault="000F7557"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In its judgment, t</w:t>
      </w:r>
      <w:r w:rsidR="000574E6">
        <w:rPr>
          <w:rFonts w:ascii="Times New Roman" w:hAnsi="Times New Roman" w:cs="Times New Roman"/>
          <w:sz w:val="24"/>
          <w:szCs w:val="24"/>
          <w:lang w:val="en-GB"/>
        </w:rPr>
        <w:t xml:space="preserve">he Court held that, in the context of the review proceedings, it was necessary to determine, first, in what circumstances the appointment of a judge may form the subject matter of an incidental review of legality. Second, it </w:t>
      </w:r>
      <w:r>
        <w:rPr>
          <w:rFonts w:ascii="Times New Roman" w:hAnsi="Times New Roman" w:cs="Times New Roman"/>
          <w:sz w:val="24"/>
          <w:szCs w:val="24"/>
          <w:lang w:val="en-GB"/>
        </w:rPr>
        <w:t>had to</w:t>
      </w:r>
      <w:r w:rsidR="000574E6">
        <w:rPr>
          <w:rFonts w:ascii="Times New Roman" w:hAnsi="Times New Roman" w:cs="Times New Roman"/>
          <w:sz w:val="24"/>
          <w:szCs w:val="24"/>
          <w:lang w:val="en-GB"/>
        </w:rPr>
        <w:t xml:space="preserve"> be examined whether, in so far as the irregularity of the appointment procedure is established, that irregularity led to an infringement of the right to a tribunal established by law, justifying the setting aside of the decisions by the CST.</w:t>
      </w:r>
      <w:r w:rsidR="000574E6">
        <w:rPr>
          <w:rStyle w:val="Voetnootmarkering"/>
          <w:rFonts w:ascii="Times New Roman" w:hAnsi="Times New Roman" w:cs="Times New Roman"/>
          <w:sz w:val="24"/>
          <w:szCs w:val="24"/>
          <w:lang w:val="en-GB"/>
        </w:rPr>
        <w:footnoteReference w:id="25"/>
      </w:r>
      <w:r w:rsidR="00B01E4E">
        <w:rPr>
          <w:rFonts w:ascii="Times New Roman" w:hAnsi="Times New Roman" w:cs="Times New Roman"/>
          <w:sz w:val="24"/>
          <w:szCs w:val="24"/>
          <w:lang w:val="en-GB"/>
        </w:rPr>
        <w:t xml:space="preserve"> The </w:t>
      </w:r>
      <w:r w:rsidR="007C76F2">
        <w:rPr>
          <w:rFonts w:ascii="Times New Roman" w:hAnsi="Times New Roman" w:cs="Times New Roman"/>
          <w:sz w:val="24"/>
          <w:szCs w:val="24"/>
          <w:lang w:val="en-GB"/>
        </w:rPr>
        <w:t>ECJ</w:t>
      </w:r>
      <w:r w:rsidR="00B01E4E">
        <w:rPr>
          <w:rFonts w:ascii="Times New Roman" w:hAnsi="Times New Roman" w:cs="Times New Roman"/>
          <w:sz w:val="24"/>
          <w:szCs w:val="24"/>
          <w:lang w:val="en-GB"/>
        </w:rPr>
        <w:t xml:space="preserve"> thus decided to tackle the two question</w:t>
      </w:r>
      <w:r w:rsidR="00A37F5E">
        <w:rPr>
          <w:rFonts w:ascii="Times New Roman" w:hAnsi="Times New Roman" w:cs="Times New Roman"/>
          <w:sz w:val="24"/>
          <w:szCs w:val="24"/>
          <w:lang w:val="en-GB"/>
        </w:rPr>
        <w:t>s</w:t>
      </w:r>
      <w:r w:rsidR="00B01E4E">
        <w:rPr>
          <w:rFonts w:ascii="Times New Roman" w:hAnsi="Times New Roman" w:cs="Times New Roman"/>
          <w:sz w:val="24"/>
          <w:szCs w:val="24"/>
          <w:lang w:val="en-GB"/>
        </w:rPr>
        <w:t xml:space="preserve"> in the opposite order as prescribed by the Review Chamber.</w:t>
      </w:r>
    </w:p>
    <w:p w14:paraId="45F3B539" w14:textId="79953C24" w:rsidR="00B01E4E" w:rsidRDefault="00A67258"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C76F2">
        <w:rPr>
          <w:rFonts w:ascii="Times New Roman" w:hAnsi="Times New Roman" w:cs="Times New Roman"/>
          <w:sz w:val="24"/>
          <w:szCs w:val="24"/>
          <w:lang w:val="en-GB"/>
        </w:rPr>
        <w:t>ECJ</w:t>
      </w:r>
      <w:r w:rsidR="00B01E4E">
        <w:rPr>
          <w:rFonts w:ascii="Times New Roman" w:hAnsi="Times New Roman" w:cs="Times New Roman"/>
          <w:sz w:val="24"/>
          <w:szCs w:val="24"/>
          <w:lang w:val="en-GB"/>
        </w:rPr>
        <w:t xml:space="preserve"> dealt with the </w:t>
      </w:r>
      <w:r w:rsidR="00C706C8">
        <w:rPr>
          <w:rFonts w:ascii="Times New Roman" w:hAnsi="Times New Roman" w:cs="Times New Roman"/>
          <w:sz w:val="24"/>
          <w:szCs w:val="24"/>
          <w:lang w:val="en-GB"/>
        </w:rPr>
        <w:t xml:space="preserve">question on the incidental review of the legality of the appointment procedure </w:t>
      </w:r>
      <w:r>
        <w:rPr>
          <w:rFonts w:ascii="Times New Roman" w:hAnsi="Times New Roman" w:cs="Times New Roman"/>
          <w:sz w:val="24"/>
          <w:szCs w:val="24"/>
          <w:lang w:val="en-GB"/>
        </w:rPr>
        <w:t>in six swift paragraphs. Like the Advocate General, i</w:t>
      </w:r>
      <w:r w:rsidR="00B01E4E">
        <w:rPr>
          <w:rFonts w:ascii="Times New Roman" w:hAnsi="Times New Roman" w:cs="Times New Roman"/>
          <w:sz w:val="24"/>
          <w:szCs w:val="24"/>
          <w:lang w:val="en-GB"/>
        </w:rPr>
        <w:t xml:space="preserve">t held that a decision by </w:t>
      </w:r>
      <w:r>
        <w:rPr>
          <w:rFonts w:ascii="Times New Roman" w:hAnsi="Times New Roman" w:cs="Times New Roman"/>
          <w:sz w:val="24"/>
          <w:szCs w:val="24"/>
          <w:lang w:val="en-GB"/>
        </w:rPr>
        <w:t xml:space="preserve">the Council to appoint a judge to the CST does not constitute a measure of general application and can thus not be the subject of an incidental </w:t>
      </w:r>
      <w:r w:rsidR="007C76F2">
        <w:rPr>
          <w:rFonts w:ascii="Times New Roman" w:hAnsi="Times New Roman" w:cs="Times New Roman"/>
          <w:sz w:val="24"/>
          <w:szCs w:val="24"/>
          <w:lang w:val="en-GB"/>
        </w:rPr>
        <w:t>review</w:t>
      </w:r>
      <w:r>
        <w:rPr>
          <w:rFonts w:ascii="Times New Roman" w:hAnsi="Times New Roman" w:cs="Times New Roman"/>
          <w:sz w:val="24"/>
          <w:szCs w:val="24"/>
          <w:lang w:val="en-GB"/>
        </w:rPr>
        <w:t xml:space="preserve"> under Article 277 TFEU. However, the Courts of the European Union must be able to check whether an irregularity during the appointment procedure could lead to an infringement of the right to a tribunal established by law, as safeguarded in Article 47(2) of the Charter. </w:t>
      </w:r>
      <w:r w:rsidR="004917AF">
        <w:rPr>
          <w:rFonts w:ascii="Times New Roman" w:hAnsi="Times New Roman" w:cs="Times New Roman"/>
          <w:sz w:val="24"/>
          <w:szCs w:val="24"/>
          <w:lang w:val="en-GB"/>
        </w:rPr>
        <w:t>For the ECJ, the right to an independent and impartial tribunal established by law represents the cornerstone of the right to a fair trial. Consequently, every court is obliged to check whether, in its composition, it constitutes such a tribunal, where a serious doubt arises on that point. Such a check is an essential procedural requirement and must therefore be verified of the court’s own motion.</w:t>
      </w:r>
      <w:r w:rsidR="0021232D">
        <w:rPr>
          <w:rFonts w:ascii="Times New Roman" w:hAnsi="Times New Roman" w:cs="Times New Roman"/>
          <w:sz w:val="24"/>
          <w:szCs w:val="24"/>
          <w:lang w:val="en-GB"/>
        </w:rPr>
        <w:t xml:space="preserve"> Thus, contrary to the Advocate </w:t>
      </w:r>
      <w:r w:rsidR="004917AF">
        <w:rPr>
          <w:rFonts w:ascii="Times New Roman" w:hAnsi="Times New Roman" w:cs="Times New Roman"/>
          <w:sz w:val="24"/>
          <w:szCs w:val="24"/>
          <w:lang w:val="en-GB"/>
        </w:rPr>
        <w:t xml:space="preserve">General, the Court held that the General Court rightfully extended the scope of the </w:t>
      </w:r>
      <w:proofErr w:type="spellStart"/>
      <w:r w:rsidR="004917AF">
        <w:rPr>
          <w:rFonts w:ascii="Times New Roman" w:hAnsi="Times New Roman" w:cs="Times New Roman"/>
          <w:i/>
          <w:sz w:val="24"/>
          <w:szCs w:val="24"/>
          <w:lang w:val="en-GB"/>
        </w:rPr>
        <w:t>Chronopost</w:t>
      </w:r>
      <w:proofErr w:type="spellEnd"/>
      <w:r w:rsidR="004917AF">
        <w:rPr>
          <w:rFonts w:ascii="Times New Roman" w:hAnsi="Times New Roman" w:cs="Times New Roman"/>
          <w:sz w:val="24"/>
          <w:szCs w:val="24"/>
          <w:lang w:val="en-GB"/>
        </w:rPr>
        <w:t xml:space="preserve"> judgment to the right to a tribunal established by law.</w:t>
      </w:r>
      <w:r w:rsidR="00C706C8">
        <w:rPr>
          <w:rStyle w:val="Voetnootmarkering"/>
          <w:rFonts w:ascii="Times New Roman" w:hAnsi="Times New Roman" w:cs="Times New Roman"/>
          <w:sz w:val="24"/>
          <w:szCs w:val="24"/>
          <w:lang w:val="en-GB"/>
        </w:rPr>
        <w:footnoteReference w:id="26"/>
      </w:r>
    </w:p>
    <w:p w14:paraId="702C0E96" w14:textId="56B8D625" w:rsidR="00C706C8" w:rsidRPr="004917AF" w:rsidRDefault="00C706C8"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to the question on the effect of the irregularity in the appointment procedure on the right to a tribunal established by law, the </w:t>
      </w:r>
      <w:r w:rsidR="00F73433">
        <w:rPr>
          <w:rFonts w:ascii="Times New Roman" w:hAnsi="Times New Roman" w:cs="Times New Roman"/>
          <w:sz w:val="24"/>
          <w:szCs w:val="24"/>
          <w:lang w:val="en-GB"/>
        </w:rPr>
        <w:t>ECJ</w:t>
      </w:r>
      <w:r>
        <w:rPr>
          <w:rFonts w:ascii="Times New Roman" w:hAnsi="Times New Roman" w:cs="Times New Roman"/>
          <w:sz w:val="24"/>
          <w:szCs w:val="24"/>
          <w:lang w:val="en-GB"/>
        </w:rPr>
        <w:t xml:space="preserve"> concurred with the General Court that the Council had committed an irregularity by using the list drawn up in 2013 for the appointment of three instead of two judges. Nonetheless, it </w:t>
      </w:r>
      <w:r w:rsidR="00546BC1">
        <w:rPr>
          <w:rFonts w:ascii="Times New Roman" w:hAnsi="Times New Roman" w:cs="Times New Roman"/>
          <w:sz w:val="24"/>
          <w:szCs w:val="24"/>
          <w:lang w:val="en-GB"/>
        </w:rPr>
        <w:t>took pains to emphasize that this was the only irregularity and that all other procedural requirements had been met.</w:t>
      </w:r>
      <w:r w:rsidR="00546BC1">
        <w:rPr>
          <w:rStyle w:val="Voetnootmarkering"/>
          <w:rFonts w:ascii="Times New Roman" w:hAnsi="Times New Roman" w:cs="Times New Roman"/>
          <w:sz w:val="24"/>
          <w:szCs w:val="24"/>
          <w:lang w:val="en-GB"/>
        </w:rPr>
        <w:footnoteReference w:id="27"/>
      </w:r>
      <w:r w:rsidR="00546BC1">
        <w:rPr>
          <w:rFonts w:ascii="Times New Roman" w:hAnsi="Times New Roman" w:cs="Times New Roman"/>
          <w:sz w:val="24"/>
          <w:szCs w:val="24"/>
          <w:lang w:val="en-GB"/>
        </w:rPr>
        <w:t xml:space="preserve"> The Court then examined the implications of this irregularity on the right to a tribunal established by law. It started off by </w:t>
      </w:r>
      <w:r w:rsidR="00BF7D55">
        <w:rPr>
          <w:rFonts w:ascii="Times New Roman" w:hAnsi="Times New Roman" w:cs="Times New Roman"/>
          <w:sz w:val="24"/>
          <w:szCs w:val="24"/>
          <w:lang w:val="en-GB"/>
        </w:rPr>
        <w:t>referring to its earlier case law in which it stressed that the substantive conditions and procedural rules that govern the appointment decisions for judges should be such that they cannot give rise to reasonable doubts about the independence of these judges.</w:t>
      </w:r>
      <w:r w:rsidR="00BF7D55">
        <w:rPr>
          <w:rStyle w:val="Voetnootmarkering"/>
          <w:rFonts w:ascii="Times New Roman" w:hAnsi="Times New Roman" w:cs="Times New Roman"/>
          <w:sz w:val="24"/>
          <w:szCs w:val="24"/>
          <w:lang w:val="en-GB"/>
        </w:rPr>
        <w:footnoteReference w:id="28"/>
      </w:r>
      <w:r w:rsidR="00BF7D55">
        <w:rPr>
          <w:rFonts w:ascii="Times New Roman" w:hAnsi="Times New Roman" w:cs="Times New Roman"/>
          <w:sz w:val="24"/>
          <w:szCs w:val="24"/>
          <w:lang w:val="en-GB"/>
        </w:rPr>
        <w:t xml:space="preserve"> </w:t>
      </w:r>
      <w:r w:rsidR="00B22436">
        <w:rPr>
          <w:rFonts w:ascii="Times New Roman" w:hAnsi="Times New Roman" w:cs="Times New Roman"/>
          <w:sz w:val="24"/>
          <w:szCs w:val="24"/>
          <w:lang w:val="en-GB"/>
        </w:rPr>
        <w:t xml:space="preserve">Then, relying </w:t>
      </w:r>
      <w:r w:rsidR="00B22436">
        <w:rPr>
          <w:rFonts w:ascii="Times New Roman" w:hAnsi="Times New Roman" w:cs="Times New Roman"/>
          <w:sz w:val="24"/>
          <w:szCs w:val="24"/>
          <w:lang w:val="en-GB"/>
        </w:rPr>
        <w:lastRenderedPageBreak/>
        <w:t>on Article 52(3) of the Charter it referred to the ECtHR’s case law on the right to a tribunal established by law</w:t>
      </w:r>
      <w:r w:rsidR="005275A9">
        <w:rPr>
          <w:rFonts w:ascii="Times New Roman" w:hAnsi="Times New Roman" w:cs="Times New Roman"/>
          <w:sz w:val="24"/>
          <w:szCs w:val="24"/>
          <w:lang w:val="en-GB"/>
        </w:rPr>
        <w:t xml:space="preserve">, </w:t>
      </w:r>
      <w:r w:rsidR="0021232D">
        <w:rPr>
          <w:rFonts w:ascii="Times New Roman" w:hAnsi="Times New Roman" w:cs="Times New Roman"/>
          <w:sz w:val="24"/>
          <w:szCs w:val="24"/>
          <w:lang w:val="en-GB"/>
        </w:rPr>
        <w:t>among which</w:t>
      </w:r>
      <w:r w:rsidR="005275A9">
        <w:rPr>
          <w:rFonts w:ascii="Times New Roman" w:hAnsi="Times New Roman" w:cs="Times New Roman"/>
          <w:sz w:val="24"/>
          <w:szCs w:val="24"/>
          <w:lang w:val="en-GB"/>
        </w:rPr>
        <w:t xml:space="preserve"> the </w:t>
      </w:r>
      <w:proofErr w:type="spellStart"/>
      <w:r w:rsidR="005275A9" w:rsidRPr="009F057C">
        <w:rPr>
          <w:rFonts w:ascii="Times New Roman" w:hAnsi="Times New Roman" w:cs="Times New Roman"/>
          <w:i/>
          <w:sz w:val="24"/>
          <w:szCs w:val="24"/>
          <w:lang w:val="en-GB"/>
        </w:rPr>
        <w:t>Ástráðsson</w:t>
      </w:r>
      <w:proofErr w:type="spellEnd"/>
      <w:r w:rsidR="005275A9" w:rsidRPr="009F057C">
        <w:rPr>
          <w:rFonts w:ascii="Times New Roman" w:hAnsi="Times New Roman" w:cs="Times New Roman"/>
          <w:sz w:val="24"/>
          <w:szCs w:val="24"/>
          <w:lang w:val="en-GB"/>
        </w:rPr>
        <w:t xml:space="preserve"> judgment</w:t>
      </w:r>
      <w:r w:rsidR="00B22436">
        <w:rPr>
          <w:rFonts w:ascii="Times New Roman" w:hAnsi="Times New Roman" w:cs="Times New Roman"/>
          <w:sz w:val="24"/>
          <w:szCs w:val="24"/>
          <w:lang w:val="en-GB"/>
        </w:rPr>
        <w:t>. From this case law, it followed that an irregularity during the appointment procedure of a judge entails an interference with the right to a tribunal established by law. This is in particular the case when that irregularity is of such a kind that it could give rise to a reasonable doubt in the minds of individuals as to the independence and the impartiality of the judge or judges in question. When applying this principle to the case at hand, the Court found that the procedural irregularity committed by the Council was not sufficient to create such doubts</w:t>
      </w:r>
      <w:r w:rsidR="00062C48">
        <w:rPr>
          <w:rFonts w:ascii="Times New Roman" w:hAnsi="Times New Roman" w:cs="Times New Roman"/>
          <w:sz w:val="24"/>
          <w:szCs w:val="24"/>
          <w:lang w:val="en-GB"/>
        </w:rPr>
        <w:t>. Therefore, this irregularity could</w:t>
      </w:r>
      <w:r w:rsidR="00B22436">
        <w:rPr>
          <w:rFonts w:ascii="Times New Roman" w:hAnsi="Times New Roman" w:cs="Times New Roman"/>
          <w:sz w:val="24"/>
          <w:szCs w:val="24"/>
          <w:lang w:val="en-GB"/>
        </w:rPr>
        <w:t xml:space="preserve"> not</w:t>
      </w:r>
      <w:r w:rsidR="00062C48">
        <w:rPr>
          <w:rFonts w:ascii="Times New Roman" w:hAnsi="Times New Roman" w:cs="Times New Roman"/>
          <w:sz w:val="24"/>
          <w:szCs w:val="24"/>
          <w:lang w:val="en-GB"/>
        </w:rPr>
        <w:t xml:space="preserve"> by itself justify the setting aside of the judicial decisions adopte</w:t>
      </w:r>
      <w:r w:rsidR="004E720B">
        <w:rPr>
          <w:rFonts w:ascii="Times New Roman" w:hAnsi="Times New Roman" w:cs="Times New Roman"/>
          <w:sz w:val="24"/>
          <w:szCs w:val="24"/>
          <w:lang w:val="en-GB"/>
        </w:rPr>
        <w:t>d by the CST. Consequently, the</w:t>
      </w:r>
      <w:r w:rsidR="00062C48">
        <w:rPr>
          <w:rFonts w:ascii="Times New Roman" w:hAnsi="Times New Roman" w:cs="Times New Roman"/>
          <w:sz w:val="24"/>
          <w:szCs w:val="24"/>
          <w:lang w:val="en-GB"/>
        </w:rPr>
        <w:t xml:space="preserve"> General Court had erred in law by doin</w:t>
      </w:r>
      <w:r w:rsidR="0047745C">
        <w:rPr>
          <w:rFonts w:ascii="Times New Roman" w:hAnsi="Times New Roman" w:cs="Times New Roman"/>
          <w:sz w:val="24"/>
          <w:szCs w:val="24"/>
          <w:lang w:val="en-GB"/>
        </w:rPr>
        <w:t>g so.</w:t>
      </w:r>
      <w:r w:rsidR="00DE60D1">
        <w:rPr>
          <w:rStyle w:val="Voetnootmarkering"/>
          <w:rFonts w:ascii="Times New Roman" w:hAnsi="Times New Roman" w:cs="Times New Roman"/>
          <w:sz w:val="24"/>
          <w:szCs w:val="24"/>
          <w:lang w:val="en-GB"/>
        </w:rPr>
        <w:footnoteReference w:id="29"/>
      </w:r>
      <w:r w:rsidR="0069329F">
        <w:rPr>
          <w:rFonts w:ascii="Times New Roman" w:hAnsi="Times New Roman" w:cs="Times New Roman"/>
          <w:sz w:val="24"/>
          <w:szCs w:val="24"/>
          <w:lang w:val="en-GB"/>
        </w:rPr>
        <w:t xml:space="preserve"> According to the ECJ, this error of law was such as to affect the unity a</w:t>
      </w:r>
      <w:r w:rsidR="00D15647">
        <w:rPr>
          <w:rFonts w:ascii="Times New Roman" w:hAnsi="Times New Roman" w:cs="Times New Roman"/>
          <w:sz w:val="24"/>
          <w:szCs w:val="24"/>
          <w:lang w:val="en-GB"/>
        </w:rPr>
        <w:t>nd consistency of EU law.</w:t>
      </w:r>
      <w:r w:rsidR="00D15647">
        <w:rPr>
          <w:rStyle w:val="Voetnootmarkering"/>
          <w:rFonts w:ascii="Times New Roman" w:hAnsi="Times New Roman" w:cs="Times New Roman"/>
          <w:sz w:val="24"/>
          <w:szCs w:val="24"/>
          <w:lang w:val="en-GB"/>
        </w:rPr>
        <w:footnoteReference w:id="30"/>
      </w:r>
    </w:p>
    <w:p w14:paraId="58D2F70D" w14:textId="1692FFA1" w:rsidR="00944BFF" w:rsidRDefault="00C91B5E" w:rsidP="00944BFF">
      <w:pPr>
        <w:pStyle w:val="Lijstalinea"/>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COMMENTARY</w:t>
      </w:r>
    </w:p>
    <w:p w14:paraId="1C943FEB" w14:textId="67ADAFC1" w:rsidR="00F27A2A" w:rsidRDefault="00FB69CD" w:rsidP="00E6323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w:t>
      </w:r>
      <w:r>
        <w:rPr>
          <w:rFonts w:ascii="Times New Roman" w:hAnsi="Times New Roman" w:cs="Times New Roman"/>
          <w:sz w:val="24"/>
          <w:szCs w:val="24"/>
          <w:lang w:val="en-GB"/>
        </w:rPr>
        <w:t>, t</w:t>
      </w:r>
      <w:r w:rsidR="00E63237">
        <w:rPr>
          <w:rFonts w:ascii="Times New Roman" w:hAnsi="Times New Roman" w:cs="Times New Roman"/>
          <w:sz w:val="24"/>
          <w:szCs w:val="24"/>
          <w:lang w:val="en-GB"/>
        </w:rPr>
        <w:t xml:space="preserve">he </w:t>
      </w:r>
      <w:r w:rsidR="007C76F2">
        <w:rPr>
          <w:rFonts w:ascii="Times New Roman" w:hAnsi="Times New Roman" w:cs="Times New Roman"/>
          <w:sz w:val="24"/>
          <w:szCs w:val="24"/>
          <w:lang w:val="en-GB"/>
        </w:rPr>
        <w:t>ECJ</w:t>
      </w:r>
      <w:r w:rsidR="00512368">
        <w:rPr>
          <w:rFonts w:ascii="Times New Roman" w:hAnsi="Times New Roman" w:cs="Times New Roman"/>
          <w:sz w:val="24"/>
          <w:szCs w:val="24"/>
          <w:lang w:val="en-GB"/>
        </w:rPr>
        <w:t xml:space="preserve"> set aside the judgment of the General Court because</w:t>
      </w:r>
      <w:r>
        <w:rPr>
          <w:rFonts w:ascii="Times New Roman" w:hAnsi="Times New Roman" w:cs="Times New Roman"/>
          <w:sz w:val="24"/>
          <w:szCs w:val="24"/>
          <w:lang w:val="en-GB"/>
        </w:rPr>
        <w:t xml:space="preserve"> it found that</w:t>
      </w:r>
      <w:r w:rsidR="00512368">
        <w:rPr>
          <w:rFonts w:ascii="Times New Roman" w:hAnsi="Times New Roman" w:cs="Times New Roman"/>
          <w:sz w:val="24"/>
          <w:szCs w:val="24"/>
          <w:lang w:val="en-GB"/>
        </w:rPr>
        <w:t xml:space="preserve"> that Court had erred in its understanding of the right to a tribunal established by law, enshrined in Article 47(2) of the Charter. </w:t>
      </w:r>
      <w:r w:rsidR="00C97866">
        <w:rPr>
          <w:rFonts w:ascii="Times New Roman" w:hAnsi="Times New Roman" w:cs="Times New Roman"/>
          <w:sz w:val="24"/>
          <w:szCs w:val="24"/>
          <w:lang w:val="en-GB"/>
        </w:rPr>
        <w:t xml:space="preserve">However, it did not disagree with the General Court on the basic premise that an irregularity in the appointment procedure for a judge might lead to a violation of that right. On the contrary, the ECJ expressly accepted that an irregularity committed during the appointment of judges entails an infringement of the right to a tribunal established by law, particularly when that infringement is </w:t>
      </w:r>
      <w:r>
        <w:rPr>
          <w:rFonts w:ascii="Times New Roman" w:hAnsi="Times New Roman" w:cs="Times New Roman"/>
          <w:sz w:val="24"/>
          <w:szCs w:val="24"/>
          <w:lang w:val="en-GB"/>
        </w:rPr>
        <w:t>o</w:t>
      </w:r>
      <w:r w:rsidR="00C97866">
        <w:rPr>
          <w:rFonts w:ascii="Times New Roman" w:hAnsi="Times New Roman" w:cs="Times New Roman"/>
          <w:sz w:val="24"/>
          <w:szCs w:val="24"/>
          <w:lang w:val="en-GB"/>
        </w:rPr>
        <w:t>f such a kind and of such a gravity as to give rise to a reasonable doubt in the minds of individuals as to the independence and the impartiality of the judge or judges concerned.</w:t>
      </w:r>
      <w:r w:rsidR="00C97866">
        <w:rPr>
          <w:rStyle w:val="Voetnootmarkering"/>
          <w:rFonts w:ascii="Times New Roman" w:hAnsi="Times New Roman" w:cs="Times New Roman"/>
          <w:sz w:val="24"/>
          <w:szCs w:val="24"/>
          <w:lang w:val="en-GB"/>
        </w:rPr>
        <w:footnoteReference w:id="31"/>
      </w:r>
      <w:r w:rsidR="00C97866">
        <w:rPr>
          <w:rFonts w:ascii="Times New Roman" w:hAnsi="Times New Roman" w:cs="Times New Roman"/>
          <w:sz w:val="24"/>
          <w:szCs w:val="24"/>
          <w:lang w:val="en-GB"/>
        </w:rPr>
        <w:t xml:space="preserve"> This is a principle that </w:t>
      </w:r>
      <w:r w:rsidR="007C76F2">
        <w:rPr>
          <w:rFonts w:ascii="Times New Roman" w:hAnsi="Times New Roman" w:cs="Times New Roman"/>
          <w:sz w:val="24"/>
          <w:szCs w:val="24"/>
          <w:lang w:val="en-GB"/>
        </w:rPr>
        <w:t>had</w:t>
      </w:r>
      <w:r w:rsidR="00C97866">
        <w:rPr>
          <w:rFonts w:ascii="Times New Roman" w:hAnsi="Times New Roman" w:cs="Times New Roman"/>
          <w:sz w:val="24"/>
          <w:szCs w:val="24"/>
          <w:lang w:val="en-GB"/>
        </w:rPr>
        <w:t xml:space="preserve"> not </w:t>
      </w:r>
      <w:r w:rsidR="007C76F2">
        <w:rPr>
          <w:rFonts w:ascii="Times New Roman" w:hAnsi="Times New Roman" w:cs="Times New Roman"/>
          <w:sz w:val="24"/>
          <w:szCs w:val="24"/>
          <w:lang w:val="en-GB"/>
        </w:rPr>
        <w:t>been mentioned</w:t>
      </w:r>
      <w:r w:rsidR="00C97866">
        <w:rPr>
          <w:rFonts w:ascii="Times New Roman" w:hAnsi="Times New Roman" w:cs="Times New Roman"/>
          <w:sz w:val="24"/>
          <w:szCs w:val="24"/>
          <w:lang w:val="en-GB"/>
        </w:rPr>
        <w:t xml:space="preserve"> in the ECJ’</w:t>
      </w:r>
      <w:r w:rsidR="00F27A2A">
        <w:rPr>
          <w:rFonts w:ascii="Times New Roman" w:hAnsi="Times New Roman" w:cs="Times New Roman"/>
          <w:sz w:val="24"/>
          <w:szCs w:val="24"/>
          <w:lang w:val="en-GB"/>
        </w:rPr>
        <w:t xml:space="preserve">s case law before, but which could prove to be of </w:t>
      </w:r>
      <w:r>
        <w:rPr>
          <w:rFonts w:ascii="Times New Roman" w:hAnsi="Times New Roman" w:cs="Times New Roman"/>
          <w:sz w:val="24"/>
          <w:szCs w:val="24"/>
          <w:lang w:val="en-GB"/>
        </w:rPr>
        <w:t>fundamental</w:t>
      </w:r>
      <w:r w:rsidR="00F27A2A">
        <w:rPr>
          <w:rFonts w:ascii="Times New Roman" w:hAnsi="Times New Roman" w:cs="Times New Roman"/>
          <w:sz w:val="24"/>
          <w:szCs w:val="24"/>
          <w:lang w:val="en-GB"/>
        </w:rPr>
        <w:t xml:space="preserve"> importance. </w:t>
      </w:r>
    </w:p>
    <w:p w14:paraId="3053B75E" w14:textId="25AB0248" w:rsidR="00E63237" w:rsidRPr="00E63237" w:rsidRDefault="00F27A2A" w:rsidP="00E63237">
      <w:pPr>
        <w:jc w:val="both"/>
        <w:rPr>
          <w:rFonts w:ascii="Times New Roman" w:hAnsi="Times New Roman" w:cs="Times New Roman"/>
          <w:sz w:val="24"/>
          <w:szCs w:val="24"/>
          <w:lang w:val="en-GB"/>
        </w:rPr>
      </w:pPr>
      <w:r w:rsidRPr="00975BD2">
        <w:rPr>
          <w:rFonts w:ascii="Times New Roman" w:hAnsi="Times New Roman" w:cs="Times New Roman"/>
          <w:sz w:val="24"/>
          <w:szCs w:val="24"/>
          <w:lang w:val="en-GB"/>
        </w:rPr>
        <w:t>This case not</w:t>
      </w:r>
      <w:r w:rsidR="0021232D" w:rsidRPr="00975BD2">
        <w:rPr>
          <w:rFonts w:ascii="Times New Roman" w:hAnsi="Times New Roman" w:cs="Times New Roman"/>
          <w:sz w:val="24"/>
          <w:szCs w:val="24"/>
          <w:lang w:val="en-GB"/>
        </w:rPr>
        <w:t>e</w:t>
      </w:r>
      <w:r w:rsidRPr="00975BD2">
        <w:rPr>
          <w:rFonts w:ascii="Times New Roman" w:hAnsi="Times New Roman" w:cs="Times New Roman"/>
          <w:sz w:val="24"/>
          <w:szCs w:val="24"/>
          <w:lang w:val="en-GB"/>
        </w:rPr>
        <w:t xml:space="preserve"> will comment on </w:t>
      </w:r>
      <w:r w:rsidR="00B5014F" w:rsidRPr="00975BD2">
        <w:rPr>
          <w:rFonts w:ascii="Times New Roman" w:hAnsi="Times New Roman" w:cs="Times New Roman"/>
          <w:sz w:val="24"/>
          <w:szCs w:val="24"/>
          <w:lang w:val="en-GB"/>
        </w:rPr>
        <w:t>three</w:t>
      </w:r>
      <w:r w:rsidRPr="00975BD2">
        <w:rPr>
          <w:rFonts w:ascii="Times New Roman" w:hAnsi="Times New Roman" w:cs="Times New Roman"/>
          <w:sz w:val="24"/>
          <w:szCs w:val="24"/>
          <w:lang w:val="en-GB"/>
        </w:rPr>
        <w:t xml:space="preserve"> aspects of this judgment. First</w:t>
      </w:r>
      <w:r w:rsidR="00975BD2" w:rsidRPr="00975BD2">
        <w:rPr>
          <w:rFonts w:ascii="Times New Roman" w:hAnsi="Times New Roman" w:cs="Times New Roman"/>
          <w:sz w:val="24"/>
          <w:szCs w:val="24"/>
          <w:lang w:val="en-GB"/>
        </w:rPr>
        <w:t>,</w:t>
      </w:r>
      <w:r w:rsidRPr="00975BD2">
        <w:rPr>
          <w:rFonts w:ascii="Times New Roman" w:hAnsi="Times New Roman" w:cs="Times New Roman"/>
          <w:sz w:val="24"/>
          <w:szCs w:val="24"/>
          <w:lang w:val="en-GB"/>
        </w:rPr>
        <w:t xml:space="preserve"> it examines </w:t>
      </w:r>
      <w:r w:rsidR="00975BD2" w:rsidRPr="00975BD2">
        <w:rPr>
          <w:rFonts w:ascii="Times New Roman" w:hAnsi="Times New Roman" w:cs="Times New Roman"/>
          <w:sz w:val="24"/>
          <w:szCs w:val="24"/>
          <w:lang w:val="en-GB"/>
        </w:rPr>
        <w:t>in wh</w:t>
      </w:r>
      <w:r w:rsidR="00494E4A">
        <w:rPr>
          <w:rFonts w:ascii="Times New Roman" w:hAnsi="Times New Roman" w:cs="Times New Roman"/>
          <w:sz w:val="24"/>
          <w:szCs w:val="24"/>
          <w:lang w:val="en-GB"/>
        </w:rPr>
        <w:t>at way this judgment contributes</w:t>
      </w:r>
      <w:r w:rsidR="00975BD2" w:rsidRPr="00975BD2">
        <w:rPr>
          <w:rFonts w:ascii="Times New Roman" w:hAnsi="Times New Roman" w:cs="Times New Roman"/>
          <w:sz w:val="24"/>
          <w:szCs w:val="24"/>
          <w:lang w:val="en-GB"/>
        </w:rPr>
        <w:t xml:space="preserve"> to </w:t>
      </w:r>
      <w:r w:rsidRPr="00975BD2">
        <w:rPr>
          <w:rFonts w:ascii="Times New Roman" w:hAnsi="Times New Roman" w:cs="Times New Roman"/>
          <w:sz w:val="24"/>
          <w:szCs w:val="24"/>
          <w:lang w:val="en-GB"/>
        </w:rPr>
        <w:t>the</w:t>
      </w:r>
      <w:r w:rsidR="006122E1">
        <w:rPr>
          <w:rFonts w:ascii="Times New Roman" w:hAnsi="Times New Roman" w:cs="Times New Roman"/>
          <w:sz w:val="24"/>
          <w:szCs w:val="24"/>
          <w:lang w:val="en-GB"/>
        </w:rPr>
        <w:t xml:space="preserve"> material scope of the</w:t>
      </w:r>
      <w:r w:rsidRPr="00975BD2">
        <w:rPr>
          <w:rFonts w:ascii="Times New Roman" w:hAnsi="Times New Roman" w:cs="Times New Roman"/>
          <w:sz w:val="24"/>
          <w:szCs w:val="24"/>
          <w:lang w:val="en-GB"/>
        </w:rPr>
        <w:t xml:space="preserve"> right </w:t>
      </w:r>
      <w:r w:rsidR="00CB075F" w:rsidRPr="00975BD2">
        <w:rPr>
          <w:rFonts w:ascii="Times New Roman" w:hAnsi="Times New Roman" w:cs="Times New Roman"/>
          <w:sz w:val="24"/>
          <w:szCs w:val="24"/>
          <w:lang w:val="en-GB"/>
        </w:rPr>
        <w:t xml:space="preserve">to a tribunal </w:t>
      </w:r>
      <w:r w:rsidR="00CB075F">
        <w:rPr>
          <w:rFonts w:ascii="Times New Roman" w:hAnsi="Times New Roman" w:cs="Times New Roman"/>
          <w:sz w:val="24"/>
          <w:szCs w:val="24"/>
          <w:lang w:val="en-GB"/>
        </w:rPr>
        <w:t>established by law</w:t>
      </w:r>
      <w:r>
        <w:rPr>
          <w:rFonts w:ascii="Times New Roman" w:hAnsi="Times New Roman" w:cs="Times New Roman"/>
          <w:sz w:val="24"/>
          <w:szCs w:val="24"/>
          <w:lang w:val="en-GB"/>
        </w:rPr>
        <w:t xml:space="preserve"> in European law, meaning within the case law of the </w:t>
      </w:r>
      <w:r w:rsidR="007C76F2">
        <w:rPr>
          <w:rFonts w:ascii="Times New Roman" w:hAnsi="Times New Roman" w:cs="Times New Roman"/>
          <w:sz w:val="24"/>
          <w:szCs w:val="24"/>
          <w:lang w:val="en-GB"/>
        </w:rPr>
        <w:t>CJEU</w:t>
      </w:r>
      <w:r>
        <w:rPr>
          <w:rFonts w:ascii="Times New Roman" w:hAnsi="Times New Roman" w:cs="Times New Roman"/>
          <w:sz w:val="24"/>
          <w:szCs w:val="24"/>
          <w:lang w:val="en-GB"/>
        </w:rPr>
        <w:t xml:space="preserve"> as well as</w:t>
      </w:r>
      <w:r w:rsidR="00494E4A">
        <w:rPr>
          <w:rFonts w:ascii="Times New Roman" w:hAnsi="Times New Roman" w:cs="Times New Roman"/>
          <w:sz w:val="24"/>
          <w:szCs w:val="24"/>
          <w:lang w:val="en-GB"/>
        </w:rPr>
        <w:t xml:space="preserve"> that of the</w:t>
      </w:r>
      <w:r>
        <w:rPr>
          <w:rFonts w:ascii="Times New Roman" w:hAnsi="Times New Roman" w:cs="Times New Roman"/>
          <w:sz w:val="24"/>
          <w:szCs w:val="24"/>
          <w:lang w:val="en-GB"/>
        </w:rPr>
        <w:t xml:space="preserve"> ECtHR. Then</w:t>
      </w:r>
      <w:r w:rsidR="00975BD2">
        <w:rPr>
          <w:rFonts w:ascii="Times New Roman" w:hAnsi="Times New Roman" w:cs="Times New Roman"/>
          <w:sz w:val="24"/>
          <w:szCs w:val="24"/>
          <w:lang w:val="en-GB"/>
        </w:rPr>
        <w:t>,</w:t>
      </w:r>
      <w:r>
        <w:rPr>
          <w:rFonts w:ascii="Times New Roman" w:hAnsi="Times New Roman" w:cs="Times New Roman"/>
          <w:sz w:val="24"/>
          <w:szCs w:val="24"/>
          <w:lang w:val="en-GB"/>
        </w:rPr>
        <w:t xml:space="preserve"> it addresses the </w:t>
      </w:r>
      <w:r w:rsidR="00B5014F">
        <w:rPr>
          <w:rFonts w:ascii="Times New Roman" w:hAnsi="Times New Roman" w:cs="Times New Roman"/>
          <w:sz w:val="24"/>
          <w:szCs w:val="24"/>
          <w:lang w:val="en-GB"/>
        </w:rPr>
        <w:t>fundamental effects of this judgment</w:t>
      </w:r>
      <w:r>
        <w:rPr>
          <w:rFonts w:ascii="Times New Roman" w:hAnsi="Times New Roman" w:cs="Times New Roman"/>
          <w:sz w:val="24"/>
          <w:szCs w:val="24"/>
          <w:lang w:val="en-GB"/>
        </w:rPr>
        <w:t xml:space="preserve"> for the</w:t>
      </w:r>
      <w:r w:rsidR="00B5014F">
        <w:rPr>
          <w:rFonts w:ascii="Times New Roman" w:hAnsi="Times New Roman" w:cs="Times New Roman"/>
          <w:sz w:val="24"/>
          <w:szCs w:val="24"/>
          <w:lang w:val="en-GB"/>
        </w:rPr>
        <w:t xml:space="preserve"> </w:t>
      </w:r>
      <w:r w:rsidR="00494E4A">
        <w:rPr>
          <w:rFonts w:ascii="Times New Roman" w:hAnsi="Times New Roman" w:cs="Times New Roman"/>
          <w:sz w:val="24"/>
          <w:szCs w:val="24"/>
          <w:lang w:val="en-GB"/>
        </w:rPr>
        <w:t>EU</w:t>
      </w:r>
      <w:r>
        <w:rPr>
          <w:rFonts w:ascii="Times New Roman" w:hAnsi="Times New Roman" w:cs="Times New Roman"/>
          <w:sz w:val="24"/>
          <w:szCs w:val="24"/>
          <w:lang w:val="en-GB"/>
        </w:rPr>
        <w:t xml:space="preserve"> Member States. Finally, it </w:t>
      </w:r>
      <w:r w:rsidR="00AB1551">
        <w:rPr>
          <w:rFonts w:ascii="Times New Roman" w:hAnsi="Times New Roman" w:cs="Times New Roman"/>
          <w:sz w:val="24"/>
          <w:szCs w:val="24"/>
          <w:lang w:val="en-GB"/>
        </w:rPr>
        <w:t xml:space="preserve">briefly </w:t>
      </w:r>
      <w:r>
        <w:rPr>
          <w:rFonts w:ascii="Times New Roman" w:hAnsi="Times New Roman" w:cs="Times New Roman"/>
          <w:sz w:val="24"/>
          <w:szCs w:val="24"/>
          <w:lang w:val="en-GB"/>
        </w:rPr>
        <w:t>looks into</w:t>
      </w:r>
      <w:r w:rsidR="007C76F2">
        <w:rPr>
          <w:rFonts w:ascii="Times New Roman" w:hAnsi="Times New Roman" w:cs="Times New Roman"/>
          <w:sz w:val="24"/>
          <w:szCs w:val="24"/>
          <w:lang w:val="en-GB"/>
        </w:rPr>
        <w:t xml:space="preserve"> the questions that remain </w:t>
      </w:r>
      <w:r w:rsidR="00A37F5E">
        <w:rPr>
          <w:rFonts w:ascii="Times New Roman" w:hAnsi="Times New Roman" w:cs="Times New Roman"/>
          <w:sz w:val="24"/>
          <w:szCs w:val="24"/>
          <w:lang w:val="en-GB"/>
        </w:rPr>
        <w:t>unanswered</w:t>
      </w:r>
      <w:r w:rsidR="007C76F2">
        <w:rPr>
          <w:rFonts w:ascii="Times New Roman" w:hAnsi="Times New Roman" w:cs="Times New Roman"/>
          <w:sz w:val="24"/>
          <w:szCs w:val="24"/>
          <w:lang w:val="en-GB"/>
        </w:rPr>
        <w:t xml:space="preserve"> after this judgment</w:t>
      </w:r>
      <w:r w:rsidR="00AB1551">
        <w:rPr>
          <w:rFonts w:ascii="Times New Roman" w:hAnsi="Times New Roman" w:cs="Times New Roman"/>
          <w:sz w:val="24"/>
          <w:szCs w:val="24"/>
          <w:lang w:val="en-GB"/>
        </w:rPr>
        <w:t>.</w:t>
      </w:r>
    </w:p>
    <w:p w14:paraId="3D3F4BD9" w14:textId="77777777" w:rsidR="00C91B5E" w:rsidRDefault="00C91B5E" w:rsidP="00C91B5E">
      <w:pPr>
        <w:pStyle w:val="Lijstalinea"/>
        <w:numPr>
          <w:ilvl w:val="1"/>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The right to a tribunal established by law in European law</w:t>
      </w:r>
    </w:p>
    <w:p w14:paraId="67DE83EA" w14:textId="1E196566" w:rsidR="00FB69CD" w:rsidRPr="00FB69CD" w:rsidRDefault="00FB69CD" w:rsidP="0054657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judgments in </w:t>
      </w:r>
      <w:r>
        <w:rPr>
          <w:rFonts w:ascii="Times New Roman" w:hAnsi="Times New Roman" w:cs="Times New Roman"/>
          <w:i/>
          <w:sz w:val="24"/>
          <w:szCs w:val="24"/>
          <w:lang w:val="en-GB"/>
        </w:rPr>
        <w:t>FV</w:t>
      </w:r>
      <w:r>
        <w:rPr>
          <w:rFonts w:ascii="Times New Roman" w:hAnsi="Times New Roman" w:cs="Times New Roman"/>
          <w:sz w:val="24"/>
          <w:szCs w:val="24"/>
          <w:lang w:val="en-GB"/>
        </w:rPr>
        <w:t xml:space="preserve">, </w:t>
      </w:r>
      <w:proofErr w:type="spellStart"/>
      <w:r w:rsidRPr="009F057C">
        <w:rPr>
          <w:rFonts w:ascii="Times New Roman" w:hAnsi="Times New Roman" w:cs="Times New Roman"/>
          <w:i/>
          <w:sz w:val="24"/>
          <w:szCs w:val="24"/>
          <w:lang w:val="en-GB"/>
        </w:rPr>
        <w:t>Ástráðsson</w:t>
      </w:r>
      <w:proofErr w:type="spellEnd"/>
      <w:r>
        <w:rPr>
          <w:rFonts w:ascii="Times New Roman" w:hAnsi="Times New Roman" w:cs="Times New Roman"/>
          <w:sz w:val="24"/>
          <w:szCs w:val="24"/>
          <w:lang w:val="en-GB"/>
        </w:rPr>
        <w:t xml:space="preserve"> and now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w:t>
      </w:r>
      <w:r>
        <w:rPr>
          <w:rFonts w:ascii="Times New Roman" w:hAnsi="Times New Roman" w:cs="Times New Roman"/>
          <w:sz w:val="24"/>
          <w:szCs w:val="24"/>
          <w:lang w:val="en-GB"/>
        </w:rPr>
        <w:t xml:space="preserve"> have each stressed that the appointment procedure of a judge is a relevant factor in assessing whether a tribunal is established by law, thereby adding a new dimension to this right. This section examines the place of the right to a tribunal established </w:t>
      </w:r>
      <w:r w:rsidR="0053433F">
        <w:rPr>
          <w:rFonts w:ascii="Times New Roman" w:hAnsi="Times New Roman" w:cs="Times New Roman"/>
          <w:sz w:val="24"/>
          <w:szCs w:val="24"/>
          <w:lang w:val="en-GB"/>
        </w:rPr>
        <w:t>by law</w:t>
      </w:r>
      <w:r>
        <w:rPr>
          <w:rFonts w:ascii="Times New Roman" w:hAnsi="Times New Roman" w:cs="Times New Roman"/>
          <w:sz w:val="24"/>
          <w:szCs w:val="24"/>
          <w:lang w:val="en-GB"/>
        </w:rPr>
        <w:t xml:space="preserve"> in European law, </w:t>
      </w:r>
      <w:r w:rsidR="00771A2F">
        <w:rPr>
          <w:rFonts w:ascii="Times New Roman" w:hAnsi="Times New Roman" w:cs="Times New Roman"/>
          <w:sz w:val="24"/>
          <w:szCs w:val="24"/>
          <w:lang w:val="en-GB"/>
        </w:rPr>
        <w:t xml:space="preserve">both in the case law of the </w:t>
      </w:r>
      <w:r w:rsidR="007C76F2">
        <w:rPr>
          <w:rFonts w:ascii="Times New Roman" w:hAnsi="Times New Roman" w:cs="Times New Roman"/>
          <w:sz w:val="24"/>
          <w:szCs w:val="24"/>
          <w:lang w:val="en-GB"/>
        </w:rPr>
        <w:t>CJEU</w:t>
      </w:r>
      <w:r w:rsidR="00771A2F">
        <w:rPr>
          <w:rFonts w:ascii="Times New Roman" w:hAnsi="Times New Roman" w:cs="Times New Roman"/>
          <w:sz w:val="24"/>
          <w:szCs w:val="24"/>
          <w:lang w:val="en-GB"/>
        </w:rPr>
        <w:t xml:space="preserve"> and of the ECtHR. </w:t>
      </w:r>
      <w:r w:rsidR="005160FD">
        <w:rPr>
          <w:rFonts w:ascii="Times New Roman" w:hAnsi="Times New Roman" w:cs="Times New Roman"/>
          <w:sz w:val="24"/>
          <w:szCs w:val="24"/>
          <w:lang w:val="en-GB"/>
        </w:rPr>
        <w:t>The</w:t>
      </w:r>
      <w:r w:rsidR="00B13504">
        <w:rPr>
          <w:rFonts w:ascii="Times New Roman" w:hAnsi="Times New Roman" w:cs="Times New Roman"/>
          <w:sz w:val="24"/>
          <w:szCs w:val="24"/>
          <w:lang w:val="en-GB"/>
        </w:rPr>
        <w:t xml:space="preserve"> section first examines the case law of </w:t>
      </w:r>
      <w:r w:rsidR="007C76F2">
        <w:rPr>
          <w:rFonts w:ascii="Times New Roman" w:hAnsi="Times New Roman" w:cs="Times New Roman"/>
          <w:sz w:val="24"/>
          <w:szCs w:val="24"/>
          <w:lang w:val="en-GB"/>
        </w:rPr>
        <w:t>the</w:t>
      </w:r>
      <w:r w:rsidR="00B13504">
        <w:rPr>
          <w:rFonts w:ascii="Times New Roman" w:hAnsi="Times New Roman" w:cs="Times New Roman"/>
          <w:sz w:val="24"/>
          <w:szCs w:val="24"/>
          <w:lang w:val="en-GB"/>
        </w:rPr>
        <w:t xml:space="preserve"> Courts before the </w:t>
      </w:r>
      <w:r w:rsidR="00B13504">
        <w:rPr>
          <w:rFonts w:ascii="Times New Roman" w:hAnsi="Times New Roman" w:cs="Times New Roman"/>
          <w:i/>
          <w:sz w:val="24"/>
          <w:szCs w:val="24"/>
          <w:lang w:val="en-GB"/>
        </w:rPr>
        <w:t>Review Simpson</w:t>
      </w:r>
      <w:r w:rsidR="005160FD">
        <w:rPr>
          <w:rFonts w:ascii="Times New Roman" w:hAnsi="Times New Roman" w:cs="Times New Roman"/>
          <w:i/>
          <w:sz w:val="24"/>
          <w:szCs w:val="24"/>
          <w:lang w:val="en-GB"/>
        </w:rPr>
        <w:t xml:space="preserve"> </w:t>
      </w:r>
      <w:r w:rsidR="005160FD">
        <w:rPr>
          <w:rFonts w:ascii="Times New Roman" w:hAnsi="Times New Roman" w:cs="Times New Roman"/>
          <w:sz w:val="24"/>
          <w:szCs w:val="24"/>
          <w:lang w:val="en-GB"/>
        </w:rPr>
        <w:t xml:space="preserve">and </w:t>
      </w:r>
      <w:proofErr w:type="spellStart"/>
      <w:r w:rsidR="005160FD" w:rsidRPr="009F057C">
        <w:rPr>
          <w:rFonts w:ascii="Times New Roman" w:hAnsi="Times New Roman" w:cs="Times New Roman"/>
          <w:i/>
          <w:sz w:val="24"/>
          <w:szCs w:val="24"/>
          <w:lang w:val="en-GB"/>
        </w:rPr>
        <w:t>Ástráðsson</w:t>
      </w:r>
      <w:proofErr w:type="spellEnd"/>
      <w:r w:rsidR="00B13504">
        <w:rPr>
          <w:rFonts w:ascii="Times New Roman" w:hAnsi="Times New Roman" w:cs="Times New Roman"/>
          <w:i/>
          <w:sz w:val="24"/>
          <w:szCs w:val="24"/>
          <w:lang w:val="en-GB"/>
        </w:rPr>
        <w:t xml:space="preserve"> </w:t>
      </w:r>
      <w:r w:rsidR="00B13504">
        <w:rPr>
          <w:rFonts w:ascii="Times New Roman" w:hAnsi="Times New Roman" w:cs="Times New Roman"/>
          <w:sz w:val="24"/>
          <w:szCs w:val="24"/>
          <w:lang w:val="en-GB"/>
        </w:rPr>
        <w:t>judgments and then assesses what these judgments have added to this case law.</w:t>
      </w:r>
    </w:p>
    <w:p w14:paraId="12752668" w14:textId="046A9B80" w:rsidR="004F32D3" w:rsidRDefault="00771A2F"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notion of a tribunal </w:t>
      </w:r>
      <w:r w:rsidR="0053433F">
        <w:rPr>
          <w:rFonts w:ascii="Times New Roman" w:hAnsi="Times New Roman" w:cs="Times New Roman"/>
          <w:sz w:val="24"/>
          <w:szCs w:val="24"/>
          <w:lang w:val="en-GB"/>
        </w:rPr>
        <w:t>‘</w:t>
      </w:r>
      <w:r>
        <w:rPr>
          <w:rFonts w:ascii="Times New Roman" w:hAnsi="Times New Roman" w:cs="Times New Roman"/>
          <w:sz w:val="24"/>
          <w:szCs w:val="24"/>
          <w:lang w:val="en-GB"/>
        </w:rPr>
        <w:t>established by law</w:t>
      </w:r>
      <w:r w:rsidR="0053433F">
        <w:rPr>
          <w:rFonts w:ascii="Times New Roman" w:hAnsi="Times New Roman" w:cs="Times New Roman"/>
          <w:sz w:val="24"/>
          <w:szCs w:val="24"/>
          <w:lang w:val="en-GB"/>
        </w:rPr>
        <w:t>’</w:t>
      </w:r>
      <w:r>
        <w:rPr>
          <w:rFonts w:ascii="Times New Roman" w:hAnsi="Times New Roman" w:cs="Times New Roman"/>
          <w:sz w:val="24"/>
          <w:szCs w:val="24"/>
          <w:lang w:val="en-GB"/>
        </w:rPr>
        <w:t xml:space="preserve"> appears in two different </w:t>
      </w:r>
      <w:r w:rsidR="00B369BD">
        <w:rPr>
          <w:rFonts w:ascii="Times New Roman" w:hAnsi="Times New Roman" w:cs="Times New Roman"/>
          <w:sz w:val="24"/>
          <w:szCs w:val="24"/>
          <w:lang w:val="en-GB"/>
        </w:rPr>
        <w:t xml:space="preserve">provisions </w:t>
      </w:r>
      <w:r>
        <w:rPr>
          <w:rFonts w:ascii="Times New Roman" w:hAnsi="Times New Roman" w:cs="Times New Roman"/>
          <w:sz w:val="24"/>
          <w:szCs w:val="24"/>
          <w:lang w:val="en-GB"/>
        </w:rPr>
        <w:t xml:space="preserve">of </w:t>
      </w:r>
      <w:r w:rsidR="00B369BD">
        <w:rPr>
          <w:rFonts w:ascii="Times New Roman" w:hAnsi="Times New Roman" w:cs="Times New Roman"/>
          <w:sz w:val="24"/>
          <w:szCs w:val="24"/>
          <w:lang w:val="en-GB"/>
        </w:rPr>
        <w:t>EU</w:t>
      </w:r>
      <w:r>
        <w:rPr>
          <w:rFonts w:ascii="Times New Roman" w:hAnsi="Times New Roman" w:cs="Times New Roman"/>
          <w:sz w:val="24"/>
          <w:szCs w:val="24"/>
          <w:lang w:val="en-GB"/>
        </w:rPr>
        <w:t xml:space="preserve"> law. First, it is an aspect of the right to a fair trial, safeguarded </w:t>
      </w:r>
      <w:r w:rsidR="00494E4A">
        <w:rPr>
          <w:rFonts w:ascii="Times New Roman" w:hAnsi="Times New Roman" w:cs="Times New Roman"/>
          <w:sz w:val="24"/>
          <w:szCs w:val="24"/>
          <w:lang w:val="en-GB"/>
        </w:rPr>
        <w:t>by</w:t>
      </w:r>
      <w:r>
        <w:rPr>
          <w:rFonts w:ascii="Times New Roman" w:hAnsi="Times New Roman" w:cs="Times New Roman"/>
          <w:sz w:val="24"/>
          <w:szCs w:val="24"/>
          <w:lang w:val="en-GB"/>
        </w:rPr>
        <w:t xml:space="preserve"> Article 47</w:t>
      </w:r>
      <w:r w:rsidR="0053433F">
        <w:rPr>
          <w:rFonts w:ascii="Times New Roman" w:hAnsi="Times New Roman" w:cs="Times New Roman"/>
          <w:sz w:val="24"/>
          <w:szCs w:val="24"/>
          <w:lang w:val="en-GB"/>
        </w:rPr>
        <w:t>(2)</w:t>
      </w:r>
      <w:r>
        <w:rPr>
          <w:rFonts w:ascii="Times New Roman" w:hAnsi="Times New Roman" w:cs="Times New Roman"/>
          <w:sz w:val="24"/>
          <w:szCs w:val="24"/>
          <w:lang w:val="en-GB"/>
        </w:rPr>
        <w:t xml:space="preserve"> of the Charter. </w:t>
      </w:r>
      <w:r>
        <w:rPr>
          <w:rFonts w:ascii="Times New Roman" w:hAnsi="Times New Roman" w:cs="Times New Roman"/>
          <w:sz w:val="24"/>
          <w:szCs w:val="24"/>
          <w:lang w:val="en-GB"/>
        </w:rPr>
        <w:lastRenderedPageBreak/>
        <w:t>Second,</w:t>
      </w:r>
      <w:r w:rsidR="00494E4A">
        <w:rPr>
          <w:rFonts w:ascii="Times New Roman" w:hAnsi="Times New Roman" w:cs="Times New Roman"/>
          <w:sz w:val="24"/>
          <w:szCs w:val="24"/>
          <w:lang w:val="en-GB"/>
        </w:rPr>
        <w:t xml:space="preserve"> according to long-standing case law, a domestic body must be established by law before it can take part in the preliminary rulings procedure, provided in Article 267 TFEU</w:t>
      </w:r>
      <w:r w:rsidR="004F32D3">
        <w:rPr>
          <w:rFonts w:ascii="Times New Roman" w:hAnsi="Times New Roman" w:cs="Times New Roman"/>
          <w:sz w:val="24"/>
          <w:szCs w:val="24"/>
          <w:lang w:val="en-GB"/>
        </w:rPr>
        <w:t>.</w:t>
      </w:r>
      <w:r w:rsidR="00F675C9">
        <w:rPr>
          <w:rStyle w:val="Voetnootmarkering"/>
          <w:rFonts w:ascii="Times New Roman" w:hAnsi="Times New Roman" w:cs="Times New Roman"/>
          <w:sz w:val="24"/>
          <w:szCs w:val="24"/>
          <w:lang w:val="en-GB"/>
        </w:rPr>
        <w:footnoteReference w:id="32"/>
      </w:r>
      <w:r w:rsidR="00740C8E">
        <w:rPr>
          <w:rFonts w:ascii="Times New Roman" w:hAnsi="Times New Roman" w:cs="Times New Roman"/>
          <w:sz w:val="24"/>
          <w:szCs w:val="24"/>
          <w:lang w:val="en-GB"/>
        </w:rPr>
        <w:t xml:space="preserve"> </w:t>
      </w:r>
    </w:p>
    <w:p w14:paraId="7442D8CC" w14:textId="3674CE9D" w:rsidR="00771A2F" w:rsidRDefault="004F32D3"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Despite the prevalence of these two pro</w:t>
      </w:r>
      <w:r w:rsidR="00EB3C53">
        <w:rPr>
          <w:rFonts w:ascii="Times New Roman" w:hAnsi="Times New Roman" w:cs="Times New Roman"/>
          <w:sz w:val="24"/>
          <w:szCs w:val="24"/>
          <w:lang w:val="en-GB"/>
        </w:rPr>
        <w:t>visions</w:t>
      </w:r>
      <w:r w:rsidR="00F675C9">
        <w:rPr>
          <w:rFonts w:ascii="Times New Roman" w:hAnsi="Times New Roman" w:cs="Times New Roman"/>
          <w:sz w:val="24"/>
          <w:szCs w:val="24"/>
          <w:lang w:val="en-GB"/>
        </w:rPr>
        <w:t xml:space="preserve"> in the jurisprudence of the </w:t>
      </w:r>
      <w:r w:rsidR="00494E4A">
        <w:rPr>
          <w:rFonts w:ascii="Times New Roman" w:hAnsi="Times New Roman" w:cs="Times New Roman"/>
          <w:sz w:val="24"/>
          <w:szCs w:val="24"/>
          <w:lang w:val="en-GB"/>
        </w:rPr>
        <w:t>CJEU</w:t>
      </w:r>
      <w:r w:rsidR="00EB3C53">
        <w:rPr>
          <w:rFonts w:ascii="Times New Roman" w:hAnsi="Times New Roman" w:cs="Times New Roman"/>
          <w:sz w:val="24"/>
          <w:szCs w:val="24"/>
          <w:lang w:val="en-GB"/>
        </w:rPr>
        <w:t xml:space="preserve">, there is very limited case law on how the notion of </w:t>
      </w:r>
      <w:r w:rsidR="00494E4A">
        <w:rPr>
          <w:rFonts w:ascii="Times New Roman" w:hAnsi="Times New Roman" w:cs="Times New Roman"/>
          <w:sz w:val="24"/>
          <w:szCs w:val="24"/>
          <w:lang w:val="en-GB"/>
        </w:rPr>
        <w:t>‘</w:t>
      </w:r>
      <w:r w:rsidR="00EB3C53">
        <w:rPr>
          <w:rFonts w:ascii="Times New Roman" w:hAnsi="Times New Roman" w:cs="Times New Roman"/>
          <w:sz w:val="24"/>
          <w:szCs w:val="24"/>
          <w:lang w:val="en-GB"/>
        </w:rPr>
        <w:t>established by law</w:t>
      </w:r>
      <w:r w:rsidR="00494E4A">
        <w:rPr>
          <w:rFonts w:ascii="Times New Roman" w:hAnsi="Times New Roman" w:cs="Times New Roman"/>
          <w:sz w:val="24"/>
          <w:szCs w:val="24"/>
          <w:lang w:val="en-GB"/>
        </w:rPr>
        <w:t>’</w:t>
      </w:r>
      <w:r w:rsidR="00EB3C53">
        <w:rPr>
          <w:rFonts w:ascii="Times New Roman" w:hAnsi="Times New Roman" w:cs="Times New Roman"/>
          <w:sz w:val="24"/>
          <w:szCs w:val="24"/>
          <w:lang w:val="en-GB"/>
        </w:rPr>
        <w:t xml:space="preserve"> should</w:t>
      </w:r>
      <w:r w:rsidR="003303C9">
        <w:rPr>
          <w:rFonts w:ascii="Times New Roman" w:hAnsi="Times New Roman" w:cs="Times New Roman"/>
          <w:sz w:val="24"/>
          <w:szCs w:val="24"/>
          <w:lang w:val="en-GB"/>
        </w:rPr>
        <w:t xml:space="preserve"> </w:t>
      </w:r>
      <w:r w:rsidR="00A2687E">
        <w:rPr>
          <w:rFonts w:ascii="Times New Roman" w:hAnsi="Times New Roman" w:cs="Times New Roman"/>
          <w:sz w:val="24"/>
          <w:szCs w:val="24"/>
          <w:lang w:val="en-GB"/>
        </w:rPr>
        <w:t>exactly</w:t>
      </w:r>
      <w:r w:rsidR="00EB3C53">
        <w:rPr>
          <w:rFonts w:ascii="Times New Roman" w:hAnsi="Times New Roman" w:cs="Times New Roman"/>
          <w:sz w:val="24"/>
          <w:szCs w:val="24"/>
          <w:lang w:val="en-GB"/>
        </w:rPr>
        <w:t xml:space="preserve"> be </w:t>
      </w:r>
      <w:r w:rsidR="00946D4F">
        <w:rPr>
          <w:rFonts w:ascii="Times New Roman" w:hAnsi="Times New Roman" w:cs="Times New Roman"/>
          <w:sz w:val="24"/>
          <w:szCs w:val="24"/>
          <w:lang w:val="en-GB"/>
        </w:rPr>
        <w:t>understood</w:t>
      </w:r>
      <w:r w:rsidR="00EB3C53">
        <w:rPr>
          <w:rFonts w:ascii="Times New Roman" w:hAnsi="Times New Roman" w:cs="Times New Roman"/>
          <w:sz w:val="24"/>
          <w:szCs w:val="24"/>
          <w:lang w:val="en-GB"/>
        </w:rPr>
        <w:t>.</w:t>
      </w:r>
      <w:r w:rsidR="00273F4E">
        <w:rPr>
          <w:rStyle w:val="Voetnootmarkering"/>
          <w:rFonts w:ascii="Times New Roman" w:hAnsi="Times New Roman" w:cs="Times New Roman"/>
          <w:sz w:val="24"/>
          <w:szCs w:val="24"/>
          <w:lang w:val="en-GB"/>
        </w:rPr>
        <w:footnoteReference w:id="33"/>
      </w:r>
      <w:r>
        <w:rPr>
          <w:rFonts w:ascii="Times New Roman" w:hAnsi="Times New Roman" w:cs="Times New Roman"/>
          <w:sz w:val="24"/>
          <w:szCs w:val="24"/>
          <w:lang w:val="en-GB"/>
        </w:rPr>
        <w:t xml:space="preserve"> </w:t>
      </w:r>
      <w:r w:rsidR="00A2687E">
        <w:rPr>
          <w:rFonts w:ascii="Times New Roman" w:hAnsi="Times New Roman" w:cs="Times New Roman"/>
          <w:sz w:val="24"/>
          <w:szCs w:val="24"/>
          <w:lang w:val="en-GB"/>
        </w:rPr>
        <w:t>In this connection, i</w:t>
      </w:r>
      <w:r w:rsidR="00C9521D">
        <w:rPr>
          <w:rFonts w:ascii="Times New Roman" w:hAnsi="Times New Roman" w:cs="Times New Roman"/>
          <w:sz w:val="24"/>
          <w:szCs w:val="24"/>
          <w:lang w:val="en-GB"/>
        </w:rPr>
        <w:t xml:space="preserve">n its </w:t>
      </w:r>
      <w:r w:rsidR="003303C9">
        <w:rPr>
          <w:rFonts w:ascii="Times New Roman" w:hAnsi="Times New Roman" w:cs="Times New Roman"/>
          <w:sz w:val="24"/>
          <w:szCs w:val="24"/>
          <w:lang w:val="en-GB"/>
        </w:rPr>
        <w:t>judgments</w:t>
      </w:r>
      <w:r w:rsidR="00C9521D">
        <w:rPr>
          <w:rFonts w:ascii="Times New Roman" w:hAnsi="Times New Roman" w:cs="Times New Roman"/>
          <w:sz w:val="24"/>
          <w:szCs w:val="24"/>
          <w:lang w:val="en-GB"/>
        </w:rPr>
        <w:t xml:space="preserve"> under Article 267 TFEU, the </w:t>
      </w:r>
      <w:r w:rsidR="00494E4A">
        <w:rPr>
          <w:rFonts w:ascii="Times New Roman" w:hAnsi="Times New Roman" w:cs="Times New Roman"/>
          <w:sz w:val="24"/>
          <w:szCs w:val="24"/>
          <w:lang w:val="en-GB"/>
        </w:rPr>
        <w:t>ECJ</w:t>
      </w:r>
      <w:r w:rsidR="00C9521D">
        <w:rPr>
          <w:rFonts w:ascii="Times New Roman" w:hAnsi="Times New Roman" w:cs="Times New Roman"/>
          <w:sz w:val="24"/>
          <w:szCs w:val="24"/>
          <w:lang w:val="en-GB"/>
        </w:rPr>
        <w:t xml:space="preserve"> regularly refrains from referring to this criterion,</w:t>
      </w:r>
      <w:r w:rsidR="00C9521D">
        <w:rPr>
          <w:rStyle w:val="Voetnootmarkering"/>
          <w:rFonts w:ascii="Times New Roman" w:hAnsi="Times New Roman" w:cs="Times New Roman"/>
          <w:sz w:val="24"/>
          <w:szCs w:val="24"/>
          <w:lang w:val="en-GB"/>
        </w:rPr>
        <w:footnoteReference w:id="34"/>
      </w:r>
      <w:r w:rsidR="00C9521D">
        <w:rPr>
          <w:rFonts w:ascii="Times New Roman" w:hAnsi="Times New Roman" w:cs="Times New Roman"/>
          <w:sz w:val="24"/>
          <w:szCs w:val="24"/>
          <w:lang w:val="en-GB"/>
        </w:rPr>
        <w:t xml:space="preserve"> or simply </w:t>
      </w:r>
      <w:r w:rsidR="00494E4A">
        <w:rPr>
          <w:rFonts w:ascii="Times New Roman" w:hAnsi="Times New Roman" w:cs="Times New Roman"/>
          <w:sz w:val="24"/>
          <w:szCs w:val="24"/>
          <w:lang w:val="en-GB"/>
        </w:rPr>
        <w:t>confirms</w:t>
      </w:r>
      <w:r w:rsidR="00C9521D">
        <w:rPr>
          <w:rFonts w:ascii="Times New Roman" w:hAnsi="Times New Roman" w:cs="Times New Roman"/>
          <w:sz w:val="24"/>
          <w:szCs w:val="24"/>
          <w:lang w:val="en-GB"/>
        </w:rPr>
        <w:t xml:space="preserve"> that it </w:t>
      </w:r>
      <w:r w:rsidR="00750B8C">
        <w:rPr>
          <w:rFonts w:ascii="Times New Roman" w:hAnsi="Times New Roman" w:cs="Times New Roman"/>
          <w:sz w:val="24"/>
          <w:szCs w:val="24"/>
          <w:lang w:val="en-GB"/>
        </w:rPr>
        <w:t>clearly</w:t>
      </w:r>
      <w:r w:rsidR="00C9521D">
        <w:rPr>
          <w:rFonts w:ascii="Times New Roman" w:hAnsi="Times New Roman" w:cs="Times New Roman"/>
          <w:sz w:val="24"/>
          <w:szCs w:val="24"/>
          <w:lang w:val="en-GB"/>
        </w:rPr>
        <w:t xml:space="preserve"> has been met.</w:t>
      </w:r>
      <w:r w:rsidR="003C2A90">
        <w:rPr>
          <w:rStyle w:val="Voetnootmarkering"/>
          <w:rFonts w:ascii="Times New Roman" w:hAnsi="Times New Roman" w:cs="Times New Roman"/>
          <w:sz w:val="24"/>
          <w:szCs w:val="24"/>
          <w:lang w:val="en-GB"/>
        </w:rPr>
        <w:footnoteReference w:id="35"/>
      </w:r>
    </w:p>
    <w:p w14:paraId="58C01834" w14:textId="0825BA4B" w:rsidR="00ED6E85" w:rsidRDefault="00750B8C"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Yet, when the case law is examined more in-depth, it becomes clear that the notion of </w:t>
      </w:r>
      <w:r w:rsidR="00494E4A">
        <w:rPr>
          <w:rFonts w:ascii="Times New Roman" w:hAnsi="Times New Roman" w:cs="Times New Roman"/>
          <w:sz w:val="24"/>
          <w:szCs w:val="24"/>
          <w:lang w:val="en-GB"/>
        </w:rPr>
        <w:t>‘</w:t>
      </w:r>
      <w:r>
        <w:rPr>
          <w:rFonts w:ascii="Times New Roman" w:hAnsi="Times New Roman" w:cs="Times New Roman"/>
          <w:sz w:val="24"/>
          <w:szCs w:val="24"/>
          <w:lang w:val="en-GB"/>
        </w:rPr>
        <w:t>established by law</w:t>
      </w:r>
      <w:r w:rsidR="00494E4A">
        <w:rPr>
          <w:rFonts w:ascii="Times New Roman" w:hAnsi="Times New Roman" w:cs="Times New Roman"/>
          <w:sz w:val="24"/>
          <w:szCs w:val="24"/>
          <w:lang w:val="en-GB"/>
        </w:rPr>
        <w:t>’</w:t>
      </w:r>
      <w:r w:rsidR="00A2687E">
        <w:rPr>
          <w:rFonts w:ascii="Times New Roman" w:hAnsi="Times New Roman" w:cs="Times New Roman"/>
          <w:sz w:val="24"/>
          <w:szCs w:val="24"/>
          <w:lang w:val="en-GB"/>
        </w:rPr>
        <w:t xml:space="preserve"> in EU law</w:t>
      </w:r>
      <w:r>
        <w:rPr>
          <w:rFonts w:ascii="Times New Roman" w:hAnsi="Times New Roman" w:cs="Times New Roman"/>
          <w:sz w:val="24"/>
          <w:szCs w:val="24"/>
          <w:lang w:val="en-GB"/>
        </w:rPr>
        <w:t xml:space="preserve"> encompasses two dimensions. </w:t>
      </w:r>
      <w:r w:rsidR="004E5642">
        <w:rPr>
          <w:rFonts w:ascii="Times New Roman" w:hAnsi="Times New Roman" w:cs="Times New Roman"/>
          <w:sz w:val="24"/>
          <w:szCs w:val="24"/>
          <w:lang w:val="en-GB"/>
        </w:rPr>
        <w:t xml:space="preserve">The first dimension </w:t>
      </w:r>
      <w:r w:rsidR="003303C9">
        <w:rPr>
          <w:rFonts w:ascii="Times New Roman" w:hAnsi="Times New Roman" w:cs="Times New Roman"/>
          <w:sz w:val="24"/>
          <w:szCs w:val="24"/>
          <w:lang w:val="en-GB"/>
        </w:rPr>
        <w:t>relates most closely</w:t>
      </w:r>
      <w:r w:rsidR="004E5642">
        <w:rPr>
          <w:rFonts w:ascii="Times New Roman" w:hAnsi="Times New Roman" w:cs="Times New Roman"/>
          <w:sz w:val="24"/>
          <w:szCs w:val="24"/>
          <w:lang w:val="en-GB"/>
        </w:rPr>
        <w:t xml:space="preserve"> to the definition </w:t>
      </w:r>
      <w:r w:rsidR="003303C9">
        <w:rPr>
          <w:rFonts w:ascii="Times New Roman" w:hAnsi="Times New Roman" w:cs="Times New Roman"/>
          <w:sz w:val="24"/>
          <w:szCs w:val="24"/>
          <w:lang w:val="en-GB"/>
        </w:rPr>
        <w:t>of the term</w:t>
      </w:r>
      <w:r w:rsidR="004E5642">
        <w:rPr>
          <w:rFonts w:ascii="Times New Roman" w:hAnsi="Times New Roman" w:cs="Times New Roman"/>
          <w:sz w:val="24"/>
          <w:szCs w:val="24"/>
          <w:lang w:val="en-GB"/>
        </w:rPr>
        <w:t xml:space="preserve"> </w:t>
      </w:r>
      <w:r w:rsidR="00D52CD1">
        <w:rPr>
          <w:rFonts w:ascii="Times New Roman" w:hAnsi="Times New Roman" w:cs="Times New Roman"/>
          <w:sz w:val="24"/>
          <w:szCs w:val="24"/>
          <w:lang w:val="en-GB"/>
        </w:rPr>
        <w:t>‘</w:t>
      </w:r>
      <w:r w:rsidR="004E5642">
        <w:rPr>
          <w:rFonts w:ascii="Times New Roman" w:hAnsi="Times New Roman" w:cs="Times New Roman"/>
          <w:sz w:val="24"/>
          <w:szCs w:val="24"/>
          <w:lang w:val="en-GB"/>
        </w:rPr>
        <w:t>established</w:t>
      </w:r>
      <w:r w:rsidR="00D52CD1">
        <w:rPr>
          <w:rFonts w:ascii="Times New Roman" w:hAnsi="Times New Roman" w:cs="Times New Roman"/>
          <w:sz w:val="24"/>
          <w:szCs w:val="24"/>
          <w:lang w:val="en-GB"/>
        </w:rPr>
        <w:t>’</w:t>
      </w:r>
      <w:r w:rsidR="006979FB">
        <w:rPr>
          <w:rFonts w:ascii="Times New Roman" w:hAnsi="Times New Roman" w:cs="Times New Roman"/>
          <w:sz w:val="24"/>
          <w:szCs w:val="24"/>
          <w:lang w:val="en-GB"/>
        </w:rPr>
        <w:t>,</w:t>
      </w:r>
      <w:r w:rsidR="004E5642">
        <w:rPr>
          <w:rFonts w:ascii="Times New Roman" w:hAnsi="Times New Roman" w:cs="Times New Roman"/>
          <w:sz w:val="24"/>
          <w:szCs w:val="24"/>
          <w:lang w:val="en-GB"/>
        </w:rPr>
        <w:t xml:space="preserve"> and encompasses that the very existence of the tribunal should have a basis in </w:t>
      </w:r>
      <w:r w:rsidR="003608C8">
        <w:rPr>
          <w:rFonts w:ascii="Times New Roman" w:hAnsi="Times New Roman" w:cs="Times New Roman"/>
          <w:sz w:val="24"/>
          <w:szCs w:val="24"/>
          <w:lang w:val="en-GB"/>
        </w:rPr>
        <w:t>legal rules</w:t>
      </w:r>
      <w:r w:rsidR="004E5642">
        <w:rPr>
          <w:rFonts w:ascii="Times New Roman" w:hAnsi="Times New Roman" w:cs="Times New Roman"/>
          <w:sz w:val="24"/>
          <w:szCs w:val="24"/>
          <w:lang w:val="en-GB"/>
        </w:rPr>
        <w:t>.</w:t>
      </w:r>
      <w:r w:rsidR="00D45BD1">
        <w:rPr>
          <w:rFonts w:ascii="Times New Roman" w:hAnsi="Times New Roman" w:cs="Times New Roman"/>
          <w:sz w:val="24"/>
          <w:szCs w:val="24"/>
          <w:lang w:val="en-GB"/>
        </w:rPr>
        <w:t xml:space="preserve"> In most judgments, </w:t>
      </w:r>
      <w:r w:rsidR="00D52CD1">
        <w:rPr>
          <w:rFonts w:ascii="Times New Roman" w:hAnsi="Times New Roman" w:cs="Times New Roman"/>
          <w:sz w:val="24"/>
          <w:szCs w:val="24"/>
          <w:lang w:val="en-GB"/>
        </w:rPr>
        <w:t>it is</w:t>
      </w:r>
      <w:r w:rsidR="00D45BD1">
        <w:rPr>
          <w:rFonts w:ascii="Times New Roman" w:hAnsi="Times New Roman" w:cs="Times New Roman"/>
          <w:sz w:val="24"/>
          <w:szCs w:val="24"/>
          <w:lang w:val="en-GB"/>
        </w:rPr>
        <w:t xml:space="preserve"> this </w:t>
      </w:r>
      <w:r w:rsidR="00A2687E">
        <w:rPr>
          <w:rFonts w:ascii="Times New Roman" w:hAnsi="Times New Roman" w:cs="Times New Roman"/>
          <w:sz w:val="24"/>
          <w:szCs w:val="24"/>
          <w:lang w:val="en-GB"/>
        </w:rPr>
        <w:t>aspect</w:t>
      </w:r>
      <w:r w:rsidR="00D45BD1">
        <w:rPr>
          <w:rFonts w:ascii="Times New Roman" w:hAnsi="Times New Roman" w:cs="Times New Roman"/>
          <w:sz w:val="24"/>
          <w:szCs w:val="24"/>
          <w:lang w:val="en-GB"/>
        </w:rPr>
        <w:t xml:space="preserve"> of the right to a tribunal established by law</w:t>
      </w:r>
      <w:r w:rsidR="00D52CD1">
        <w:rPr>
          <w:rFonts w:ascii="Times New Roman" w:hAnsi="Times New Roman" w:cs="Times New Roman"/>
          <w:sz w:val="24"/>
          <w:szCs w:val="24"/>
          <w:lang w:val="en-GB"/>
        </w:rPr>
        <w:t xml:space="preserve"> that is addressed. The </w:t>
      </w:r>
      <w:r w:rsidR="00494E4A">
        <w:rPr>
          <w:rFonts w:ascii="Times New Roman" w:hAnsi="Times New Roman" w:cs="Times New Roman"/>
          <w:sz w:val="24"/>
          <w:szCs w:val="24"/>
          <w:lang w:val="en-GB"/>
        </w:rPr>
        <w:t>ECJ</w:t>
      </w:r>
      <w:r w:rsidR="00D45BD1">
        <w:rPr>
          <w:rFonts w:ascii="Times New Roman" w:hAnsi="Times New Roman" w:cs="Times New Roman"/>
          <w:sz w:val="24"/>
          <w:szCs w:val="24"/>
          <w:lang w:val="en-GB"/>
        </w:rPr>
        <w:t xml:space="preserve"> then simply refers to the domestic legal provision which </w:t>
      </w:r>
      <w:r w:rsidR="006979FB">
        <w:rPr>
          <w:rFonts w:ascii="Times New Roman" w:hAnsi="Times New Roman" w:cs="Times New Roman"/>
          <w:sz w:val="24"/>
          <w:szCs w:val="24"/>
          <w:lang w:val="en-GB"/>
        </w:rPr>
        <w:t>provides the legal basis for</w:t>
      </w:r>
      <w:r w:rsidR="00D45BD1">
        <w:rPr>
          <w:rFonts w:ascii="Times New Roman" w:hAnsi="Times New Roman" w:cs="Times New Roman"/>
          <w:sz w:val="24"/>
          <w:szCs w:val="24"/>
          <w:lang w:val="en-GB"/>
        </w:rPr>
        <w:t xml:space="preserve"> the tribunal in question.</w:t>
      </w:r>
      <w:r w:rsidR="00D45BD1">
        <w:rPr>
          <w:rStyle w:val="Voetnootmarkering"/>
          <w:rFonts w:ascii="Times New Roman" w:hAnsi="Times New Roman" w:cs="Times New Roman"/>
          <w:sz w:val="24"/>
          <w:szCs w:val="24"/>
          <w:lang w:val="en-GB"/>
        </w:rPr>
        <w:footnoteReference w:id="36"/>
      </w:r>
      <w:r w:rsidR="003303C9">
        <w:rPr>
          <w:rFonts w:ascii="Times New Roman" w:hAnsi="Times New Roman" w:cs="Times New Roman"/>
          <w:sz w:val="24"/>
          <w:szCs w:val="24"/>
          <w:lang w:val="en-GB"/>
        </w:rPr>
        <w:t xml:space="preserve"> </w:t>
      </w:r>
      <w:r w:rsidR="006979FB">
        <w:rPr>
          <w:rFonts w:ascii="Times New Roman" w:hAnsi="Times New Roman" w:cs="Times New Roman"/>
          <w:sz w:val="24"/>
          <w:szCs w:val="24"/>
          <w:lang w:val="en-GB"/>
        </w:rPr>
        <w:t xml:space="preserve">It appears that the </w:t>
      </w:r>
      <w:r w:rsidR="0053433F">
        <w:rPr>
          <w:rFonts w:ascii="Times New Roman" w:hAnsi="Times New Roman" w:cs="Times New Roman"/>
          <w:sz w:val="24"/>
          <w:szCs w:val="24"/>
          <w:lang w:val="en-GB"/>
        </w:rPr>
        <w:t>ECJ</w:t>
      </w:r>
      <w:r w:rsidR="006979FB">
        <w:rPr>
          <w:rFonts w:ascii="Times New Roman" w:hAnsi="Times New Roman" w:cs="Times New Roman"/>
          <w:sz w:val="24"/>
          <w:szCs w:val="24"/>
          <w:lang w:val="en-GB"/>
        </w:rPr>
        <w:t xml:space="preserve"> does not require this legal basis to be enshrined in primary legislation, but also accepts subordinate legislation.</w:t>
      </w:r>
      <w:r w:rsidR="006979FB">
        <w:rPr>
          <w:rStyle w:val="Voetnootmarkering"/>
          <w:rFonts w:ascii="Times New Roman" w:hAnsi="Times New Roman" w:cs="Times New Roman"/>
          <w:sz w:val="24"/>
          <w:szCs w:val="24"/>
          <w:lang w:val="en-GB"/>
        </w:rPr>
        <w:footnoteReference w:id="37"/>
      </w:r>
      <w:r w:rsidR="009A6A3B">
        <w:rPr>
          <w:rFonts w:ascii="Times New Roman" w:hAnsi="Times New Roman" w:cs="Times New Roman"/>
          <w:sz w:val="24"/>
          <w:szCs w:val="24"/>
          <w:lang w:val="en-GB"/>
        </w:rPr>
        <w:t xml:space="preserve"> </w:t>
      </w:r>
      <w:r w:rsidR="00622150">
        <w:rPr>
          <w:rFonts w:ascii="Times New Roman" w:hAnsi="Times New Roman" w:cs="Times New Roman"/>
          <w:sz w:val="24"/>
          <w:szCs w:val="24"/>
          <w:lang w:val="en-GB"/>
        </w:rPr>
        <w:t xml:space="preserve">In other judgments, the </w:t>
      </w:r>
      <w:r w:rsidR="0053433F">
        <w:rPr>
          <w:rFonts w:ascii="Times New Roman" w:hAnsi="Times New Roman" w:cs="Times New Roman"/>
          <w:sz w:val="24"/>
          <w:szCs w:val="24"/>
          <w:lang w:val="en-GB"/>
        </w:rPr>
        <w:t>CJEU</w:t>
      </w:r>
      <w:r w:rsidR="00622150">
        <w:rPr>
          <w:rFonts w:ascii="Times New Roman" w:hAnsi="Times New Roman" w:cs="Times New Roman"/>
          <w:sz w:val="24"/>
          <w:szCs w:val="24"/>
          <w:lang w:val="en-GB"/>
        </w:rPr>
        <w:t xml:space="preserve"> address</w:t>
      </w:r>
      <w:r w:rsidR="0053433F">
        <w:rPr>
          <w:rFonts w:ascii="Times New Roman" w:hAnsi="Times New Roman" w:cs="Times New Roman"/>
          <w:sz w:val="24"/>
          <w:szCs w:val="24"/>
          <w:lang w:val="en-GB"/>
        </w:rPr>
        <w:t>es</w:t>
      </w:r>
      <w:r w:rsidR="00622150">
        <w:rPr>
          <w:rFonts w:ascii="Times New Roman" w:hAnsi="Times New Roman" w:cs="Times New Roman"/>
          <w:sz w:val="24"/>
          <w:szCs w:val="24"/>
          <w:lang w:val="en-GB"/>
        </w:rPr>
        <w:t xml:space="preserve"> a second dimension of the notion </w:t>
      </w:r>
      <w:r w:rsidR="00930B4A">
        <w:rPr>
          <w:rFonts w:ascii="Times New Roman" w:hAnsi="Times New Roman" w:cs="Times New Roman"/>
          <w:sz w:val="24"/>
          <w:szCs w:val="24"/>
          <w:lang w:val="en-GB"/>
        </w:rPr>
        <w:t>‘</w:t>
      </w:r>
      <w:r w:rsidR="00622150">
        <w:rPr>
          <w:rFonts w:ascii="Times New Roman" w:hAnsi="Times New Roman" w:cs="Times New Roman"/>
          <w:sz w:val="24"/>
          <w:szCs w:val="24"/>
          <w:lang w:val="en-GB"/>
        </w:rPr>
        <w:t>established by law</w:t>
      </w:r>
      <w:r w:rsidR="00930B4A">
        <w:rPr>
          <w:rFonts w:ascii="Times New Roman" w:hAnsi="Times New Roman" w:cs="Times New Roman"/>
          <w:sz w:val="24"/>
          <w:szCs w:val="24"/>
          <w:lang w:val="en-GB"/>
        </w:rPr>
        <w:t>’</w:t>
      </w:r>
      <w:r w:rsidR="00622150">
        <w:rPr>
          <w:rFonts w:ascii="Times New Roman" w:hAnsi="Times New Roman" w:cs="Times New Roman"/>
          <w:sz w:val="24"/>
          <w:szCs w:val="24"/>
          <w:lang w:val="en-GB"/>
        </w:rPr>
        <w:t>. In those cases, the question</w:t>
      </w:r>
      <w:r w:rsidR="003608C8">
        <w:rPr>
          <w:rFonts w:ascii="Times New Roman" w:hAnsi="Times New Roman" w:cs="Times New Roman"/>
          <w:sz w:val="24"/>
          <w:szCs w:val="24"/>
          <w:lang w:val="en-GB"/>
        </w:rPr>
        <w:t xml:space="preserve"> is not whether the tribunal has</w:t>
      </w:r>
      <w:r w:rsidR="00622150">
        <w:rPr>
          <w:rFonts w:ascii="Times New Roman" w:hAnsi="Times New Roman" w:cs="Times New Roman"/>
          <w:sz w:val="24"/>
          <w:szCs w:val="24"/>
          <w:lang w:val="en-GB"/>
        </w:rPr>
        <w:t xml:space="preserve"> a basis in legi</w:t>
      </w:r>
      <w:r w:rsidR="003608C8">
        <w:rPr>
          <w:rFonts w:ascii="Times New Roman" w:hAnsi="Times New Roman" w:cs="Times New Roman"/>
          <w:sz w:val="24"/>
          <w:szCs w:val="24"/>
          <w:lang w:val="en-GB"/>
        </w:rPr>
        <w:t>slation, but whether it complies</w:t>
      </w:r>
      <w:r w:rsidR="00622150">
        <w:rPr>
          <w:rFonts w:ascii="Times New Roman" w:hAnsi="Times New Roman" w:cs="Times New Roman"/>
          <w:sz w:val="24"/>
          <w:szCs w:val="24"/>
          <w:lang w:val="en-GB"/>
        </w:rPr>
        <w:t xml:space="preserve"> with the rules concerning its jurisdiction and composition.</w:t>
      </w:r>
      <w:r w:rsidR="00EC59FA">
        <w:rPr>
          <w:rStyle w:val="Voetnootmarkering"/>
          <w:rFonts w:ascii="Times New Roman" w:hAnsi="Times New Roman" w:cs="Times New Roman"/>
          <w:sz w:val="24"/>
          <w:szCs w:val="24"/>
          <w:lang w:val="en-GB"/>
        </w:rPr>
        <w:footnoteReference w:id="38"/>
      </w:r>
      <w:r w:rsidR="00EC59FA">
        <w:rPr>
          <w:rFonts w:ascii="Times New Roman" w:hAnsi="Times New Roman" w:cs="Times New Roman"/>
          <w:sz w:val="24"/>
          <w:szCs w:val="24"/>
          <w:lang w:val="en-GB"/>
        </w:rPr>
        <w:t xml:space="preserve"> Here, the argument is that a tribunal </w:t>
      </w:r>
      <w:r w:rsidR="00B13504">
        <w:rPr>
          <w:rFonts w:ascii="Times New Roman" w:hAnsi="Times New Roman" w:cs="Times New Roman"/>
          <w:sz w:val="24"/>
          <w:szCs w:val="24"/>
          <w:lang w:val="en-GB"/>
        </w:rPr>
        <w:t>can</w:t>
      </w:r>
      <w:r w:rsidR="00EC59FA">
        <w:rPr>
          <w:rFonts w:ascii="Times New Roman" w:hAnsi="Times New Roman" w:cs="Times New Roman"/>
          <w:sz w:val="24"/>
          <w:szCs w:val="24"/>
          <w:lang w:val="en-GB"/>
        </w:rPr>
        <w:t xml:space="preserve"> only</w:t>
      </w:r>
      <w:r w:rsidR="00B13504">
        <w:rPr>
          <w:rFonts w:ascii="Times New Roman" w:hAnsi="Times New Roman" w:cs="Times New Roman"/>
          <w:sz w:val="24"/>
          <w:szCs w:val="24"/>
          <w:lang w:val="en-GB"/>
        </w:rPr>
        <w:t xml:space="preserve"> be</w:t>
      </w:r>
      <w:r w:rsidR="00EC59FA">
        <w:rPr>
          <w:rFonts w:ascii="Times New Roman" w:hAnsi="Times New Roman" w:cs="Times New Roman"/>
          <w:sz w:val="24"/>
          <w:szCs w:val="24"/>
          <w:lang w:val="en-GB"/>
        </w:rPr>
        <w:t xml:space="preserve"> established by law, if it ruled in accordance with the jurisdictional rules and the provisions concerning the composition of the </w:t>
      </w:r>
      <w:r w:rsidR="00EC59FA">
        <w:rPr>
          <w:rFonts w:ascii="Times New Roman" w:hAnsi="Times New Roman" w:cs="Times New Roman"/>
          <w:sz w:val="24"/>
          <w:szCs w:val="24"/>
          <w:lang w:val="en-GB"/>
        </w:rPr>
        <w:lastRenderedPageBreak/>
        <w:t xml:space="preserve">bench. In several judgments, the </w:t>
      </w:r>
      <w:r w:rsidR="0053433F">
        <w:rPr>
          <w:rFonts w:ascii="Times New Roman" w:hAnsi="Times New Roman" w:cs="Times New Roman"/>
          <w:sz w:val="24"/>
          <w:szCs w:val="24"/>
          <w:lang w:val="en-GB"/>
        </w:rPr>
        <w:t>CJEU</w:t>
      </w:r>
      <w:r w:rsidR="00EC59FA">
        <w:rPr>
          <w:rFonts w:ascii="Times New Roman" w:hAnsi="Times New Roman" w:cs="Times New Roman"/>
          <w:sz w:val="24"/>
          <w:szCs w:val="24"/>
          <w:lang w:val="en-GB"/>
        </w:rPr>
        <w:t xml:space="preserve"> </w:t>
      </w:r>
      <w:r w:rsidR="003608C8">
        <w:rPr>
          <w:rFonts w:ascii="Times New Roman" w:hAnsi="Times New Roman" w:cs="Times New Roman"/>
          <w:sz w:val="24"/>
          <w:szCs w:val="24"/>
          <w:lang w:val="en-GB"/>
        </w:rPr>
        <w:t xml:space="preserve">has </w:t>
      </w:r>
      <w:r w:rsidR="00EC59FA">
        <w:rPr>
          <w:rFonts w:ascii="Times New Roman" w:hAnsi="Times New Roman" w:cs="Times New Roman"/>
          <w:sz w:val="24"/>
          <w:szCs w:val="24"/>
          <w:lang w:val="en-GB"/>
        </w:rPr>
        <w:t xml:space="preserve">shown </w:t>
      </w:r>
      <w:r w:rsidR="003608C8">
        <w:rPr>
          <w:rFonts w:ascii="Times New Roman" w:hAnsi="Times New Roman" w:cs="Times New Roman"/>
          <w:sz w:val="24"/>
          <w:szCs w:val="24"/>
          <w:lang w:val="en-GB"/>
        </w:rPr>
        <w:t>its</w:t>
      </w:r>
      <w:r w:rsidR="00EC59FA">
        <w:rPr>
          <w:rFonts w:ascii="Times New Roman" w:hAnsi="Times New Roman" w:cs="Times New Roman"/>
          <w:sz w:val="24"/>
          <w:szCs w:val="24"/>
          <w:lang w:val="en-GB"/>
        </w:rPr>
        <w:t xml:space="preserve"> willingness to verify the compliance with this second dimension of the right to</w:t>
      </w:r>
      <w:r w:rsidR="00ED241E">
        <w:rPr>
          <w:rFonts w:ascii="Times New Roman" w:hAnsi="Times New Roman" w:cs="Times New Roman"/>
          <w:sz w:val="24"/>
          <w:szCs w:val="24"/>
          <w:lang w:val="en-GB"/>
        </w:rPr>
        <w:t xml:space="preserve"> a tribunal established by law.</w:t>
      </w:r>
      <w:r w:rsidR="00ED241E">
        <w:rPr>
          <w:rStyle w:val="Voetnootmarkering"/>
          <w:rFonts w:ascii="Times New Roman" w:hAnsi="Times New Roman" w:cs="Times New Roman"/>
          <w:sz w:val="24"/>
          <w:szCs w:val="24"/>
          <w:lang w:val="en-GB"/>
        </w:rPr>
        <w:footnoteReference w:id="39"/>
      </w:r>
      <w:r w:rsidR="00336E94">
        <w:rPr>
          <w:rFonts w:ascii="Times New Roman" w:hAnsi="Times New Roman" w:cs="Times New Roman"/>
          <w:sz w:val="24"/>
          <w:szCs w:val="24"/>
          <w:lang w:val="en-GB"/>
        </w:rPr>
        <w:t xml:space="preserve"> The General Court, with reference to the case law of the ECtHR</w:t>
      </w:r>
      <w:r w:rsidR="00A2687E">
        <w:rPr>
          <w:rFonts w:ascii="Times New Roman" w:hAnsi="Times New Roman" w:cs="Times New Roman"/>
          <w:sz w:val="24"/>
          <w:szCs w:val="24"/>
          <w:lang w:val="en-GB"/>
        </w:rPr>
        <w:t>,</w:t>
      </w:r>
      <w:r w:rsidR="00336E94">
        <w:rPr>
          <w:rFonts w:ascii="Times New Roman" w:hAnsi="Times New Roman" w:cs="Times New Roman"/>
          <w:sz w:val="24"/>
          <w:szCs w:val="24"/>
          <w:lang w:val="en-GB"/>
        </w:rPr>
        <w:t xml:space="preserve"> appear</w:t>
      </w:r>
      <w:r w:rsidR="00A2687E">
        <w:rPr>
          <w:rFonts w:ascii="Times New Roman" w:hAnsi="Times New Roman" w:cs="Times New Roman"/>
          <w:sz w:val="24"/>
          <w:szCs w:val="24"/>
          <w:lang w:val="en-GB"/>
        </w:rPr>
        <w:t>s</w:t>
      </w:r>
      <w:r w:rsidR="00336E94">
        <w:rPr>
          <w:rFonts w:ascii="Times New Roman" w:hAnsi="Times New Roman" w:cs="Times New Roman"/>
          <w:sz w:val="24"/>
          <w:szCs w:val="24"/>
          <w:lang w:val="en-GB"/>
        </w:rPr>
        <w:t xml:space="preserve"> to require </w:t>
      </w:r>
      <w:r w:rsidR="005160FD">
        <w:rPr>
          <w:rFonts w:ascii="Times New Roman" w:hAnsi="Times New Roman" w:cs="Times New Roman"/>
          <w:sz w:val="24"/>
          <w:szCs w:val="24"/>
          <w:lang w:val="en-GB"/>
        </w:rPr>
        <w:t>these rules to be laid down in formal legislation.</w:t>
      </w:r>
      <w:r w:rsidR="00336E94">
        <w:rPr>
          <w:rStyle w:val="Voetnootmarkering"/>
          <w:rFonts w:ascii="Times New Roman" w:hAnsi="Times New Roman" w:cs="Times New Roman"/>
          <w:sz w:val="24"/>
          <w:szCs w:val="24"/>
          <w:lang w:val="en-GB"/>
        </w:rPr>
        <w:footnoteReference w:id="40"/>
      </w:r>
      <w:r w:rsidR="00336E94">
        <w:rPr>
          <w:rFonts w:ascii="Times New Roman" w:hAnsi="Times New Roman" w:cs="Times New Roman"/>
          <w:sz w:val="24"/>
          <w:szCs w:val="24"/>
          <w:lang w:val="en-GB"/>
        </w:rPr>
        <w:t xml:space="preserve"> </w:t>
      </w:r>
    </w:p>
    <w:p w14:paraId="46F7DA43" w14:textId="10DEC2DB" w:rsidR="003E61DE" w:rsidRDefault="003E61DE"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These two dimensions of the right to a tribunal established by law c</w:t>
      </w:r>
      <w:r w:rsidR="005160FD">
        <w:rPr>
          <w:rFonts w:ascii="Times New Roman" w:hAnsi="Times New Roman" w:cs="Times New Roman"/>
          <w:sz w:val="24"/>
          <w:szCs w:val="24"/>
          <w:lang w:val="en-GB"/>
        </w:rPr>
        <w:t>an also be found in the jurisprudence</w:t>
      </w:r>
      <w:r>
        <w:rPr>
          <w:rFonts w:ascii="Times New Roman" w:hAnsi="Times New Roman" w:cs="Times New Roman"/>
          <w:sz w:val="24"/>
          <w:szCs w:val="24"/>
          <w:lang w:val="en-GB"/>
        </w:rPr>
        <w:t xml:space="preserve"> of the ECtHR. According to long-standing case law, the phrase </w:t>
      </w:r>
      <w:r w:rsidR="00930B4A">
        <w:rPr>
          <w:rFonts w:ascii="Times New Roman" w:hAnsi="Times New Roman" w:cs="Times New Roman"/>
          <w:sz w:val="24"/>
          <w:szCs w:val="24"/>
          <w:lang w:val="en-GB"/>
        </w:rPr>
        <w:t>‘</w:t>
      </w:r>
      <w:r>
        <w:rPr>
          <w:rFonts w:ascii="Times New Roman" w:hAnsi="Times New Roman" w:cs="Times New Roman"/>
          <w:sz w:val="24"/>
          <w:szCs w:val="24"/>
          <w:lang w:val="en-GB"/>
        </w:rPr>
        <w:t>established by law</w:t>
      </w:r>
      <w:r w:rsidR="00930B4A">
        <w:rPr>
          <w:rFonts w:ascii="Times New Roman" w:hAnsi="Times New Roman" w:cs="Times New Roman"/>
          <w:sz w:val="24"/>
          <w:szCs w:val="24"/>
          <w:lang w:val="en-GB"/>
        </w:rPr>
        <w:t>’</w:t>
      </w:r>
      <w:r>
        <w:rPr>
          <w:rFonts w:ascii="Times New Roman" w:hAnsi="Times New Roman" w:cs="Times New Roman"/>
          <w:sz w:val="24"/>
          <w:szCs w:val="24"/>
          <w:lang w:val="en-GB"/>
        </w:rPr>
        <w:t>, as guaranteed by Article 6(1) ECHR, covers the legal basis for the very existence of a tribunal.</w:t>
      </w:r>
      <w:r>
        <w:rPr>
          <w:rStyle w:val="Voetnootmarkering"/>
          <w:rFonts w:ascii="Times New Roman" w:hAnsi="Times New Roman" w:cs="Times New Roman"/>
          <w:sz w:val="24"/>
          <w:szCs w:val="24"/>
          <w:lang w:val="en-GB"/>
        </w:rPr>
        <w:footnoteReference w:id="41"/>
      </w:r>
      <w:r w:rsidR="00013288">
        <w:rPr>
          <w:rFonts w:ascii="Times New Roman" w:hAnsi="Times New Roman" w:cs="Times New Roman"/>
          <w:sz w:val="24"/>
          <w:szCs w:val="24"/>
          <w:lang w:val="en-GB"/>
        </w:rPr>
        <w:t xml:space="preserve"> Moreover, it also encompasses the particular rules that govern it and the composition of the bench in each case.</w:t>
      </w:r>
      <w:r w:rsidR="00013288">
        <w:rPr>
          <w:rStyle w:val="Voetnootmarkering"/>
          <w:rFonts w:ascii="Times New Roman" w:hAnsi="Times New Roman" w:cs="Times New Roman"/>
          <w:sz w:val="24"/>
          <w:szCs w:val="24"/>
          <w:lang w:val="en-GB"/>
        </w:rPr>
        <w:footnoteReference w:id="42"/>
      </w:r>
      <w:r w:rsidR="00013288">
        <w:rPr>
          <w:rFonts w:ascii="Times New Roman" w:hAnsi="Times New Roman" w:cs="Times New Roman"/>
          <w:sz w:val="24"/>
          <w:szCs w:val="24"/>
          <w:lang w:val="en-GB"/>
        </w:rPr>
        <w:t xml:space="preserve"> Therefore, for the Strasbourg Court, a tribunal is</w:t>
      </w:r>
      <w:r w:rsidR="00313E05">
        <w:rPr>
          <w:rFonts w:ascii="Times New Roman" w:hAnsi="Times New Roman" w:cs="Times New Roman"/>
          <w:sz w:val="24"/>
          <w:szCs w:val="24"/>
          <w:lang w:val="en-GB"/>
        </w:rPr>
        <w:t xml:space="preserve"> only</w:t>
      </w:r>
      <w:r w:rsidR="00013288">
        <w:rPr>
          <w:rFonts w:ascii="Times New Roman" w:hAnsi="Times New Roman" w:cs="Times New Roman"/>
          <w:sz w:val="24"/>
          <w:szCs w:val="24"/>
          <w:lang w:val="en-GB"/>
        </w:rPr>
        <w:t xml:space="preserve"> established by law if it complies with all provisions of domestic law, of which any breach would cause the participation of one or more judges in the examination of the case to be unlawful.</w:t>
      </w:r>
      <w:r w:rsidR="00013288">
        <w:rPr>
          <w:rStyle w:val="Voetnootmarkering"/>
          <w:rFonts w:ascii="Times New Roman" w:hAnsi="Times New Roman" w:cs="Times New Roman"/>
          <w:sz w:val="24"/>
          <w:szCs w:val="24"/>
          <w:lang w:val="en-GB"/>
        </w:rPr>
        <w:footnoteReference w:id="43"/>
      </w:r>
      <w:r w:rsidR="00013288">
        <w:rPr>
          <w:rFonts w:ascii="Times New Roman" w:hAnsi="Times New Roman" w:cs="Times New Roman"/>
          <w:sz w:val="24"/>
          <w:szCs w:val="24"/>
          <w:lang w:val="en-GB"/>
        </w:rPr>
        <w:t xml:space="preserve"> </w:t>
      </w:r>
      <w:r w:rsidR="001613AD">
        <w:rPr>
          <w:rFonts w:ascii="Times New Roman" w:hAnsi="Times New Roman" w:cs="Times New Roman"/>
          <w:sz w:val="24"/>
          <w:szCs w:val="24"/>
          <w:lang w:val="en-GB"/>
        </w:rPr>
        <w:t>Importantly, the Strasbourg Court requires a law emanating from parliament,</w:t>
      </w:r>
      <w:r w:rsidR="00861344">
        <w:rPr>
          <w:rStyle w:val="Voetnootmarkering"/>
          <w:rFonts w:ascii="Times New Roman" w:hAnsi="Times New Roman" w:cs="Times New Roman"/>
          <w:sz w:val="24"/>
          <w:szCs w:val="24"/>
          <w:lang w:val="en-GB"/>
        </w:rPr>
        <w:footnoteReference w:id="44"/>
      </w:r>
      <w:r w:rsidR="001613AD">
        <w:rPr>
          <w:rFonts w:ascii="Times New Roman" w:hAnsi="Times New Roman" w:cs="Times New Roman"/>
          <w:sz w:val="24"/>
          <w:szCs w:val="24"/>
          <w:lang w:val="en-GB"/>
        </w:rPr>
        <w:t xml:space="preserve"> in order to ensure that the judicial organi</w:t>
      </w:r>
      <w:r w:rsidR="00C563AD">
        <w:rPr>
          <w:rFonts w:ascii="Times New Roman" w:hAnsi="Times New Roman" w:cs="Times New Roman"/>
          <w:sz w:val="24"/>
          <w:szCs w:val="24"/>
          <w:lang w:val="en-GB"/>
        </w:rPr>
        <w:t>z</w:t>
      </w:r>
      <w:r w:rsidR="001613AD">
        <w:rPr>
          <w:rFonts w:ascii="Times New Roman" w:hAnsi="Times New Roman" w:cs="Times New Roman"/>
          <w:sz w:val="24"/>
          <w:szCs w:val="24"/>
          <w:lang w:val="en-GB"/>
        </w:rPr>
        <w:t>ation does not depend on the discretion of the executive or the judicial authorities themselves.</w:t>
      </w:r>
      <w:r w:rsidR="001613AD">
        <w:rPr>
          <w:rStyle w:val="Voetnootmarkering"/>
          <w:rFonts w:ascii="Times New Roman" w:hAnsi="Times New Roman" w:cs="Times New Roman"/>
          <w:sz w:val="24"/>
          <w:szCs w:val="24"/>
          <w:lang w:val="en-GB"/>
        </w:rPr>
        <w:footnoteReference w:id="45"/>
      </w:r>
      <w:r w:rsidR="00010733">
        <w:rPr>
          <w:rFonts w:ascii="Times New Roman" w:hAnsi="Times New Roman" w:cs="Times New Roman"/>
          <w:sz w:val="24"/>
          <w:szCs w:val="24"/>
          <w:lang w:val="en-GB"/>
        </w:rPr>
        <w:t xml:space="preserve"> However, this does not mean that the legislature must regulate every detail in this area by a formal act of parli</w:t>
      </w:r>
      <w:r w:rsidR="003608C8">
        <w:rPr>
          <w:rFonts w:ascii="Times New Roman" w:hAnsi="Times New Roman" w:cs="Times New Roman"/>
          <w:sz w:val="24"/>
          <w:szCs w:val="24"/>
          <w:lang w:val="en-GB"/>
        </w:rPr>
        <w:t>ament, as long as it establishes</w:t>
      </w:r>
      <w:r w:rsidR="00C563AD">
        <w:rPr>
          <w:rFonts w:ascii="Times New Roman" w:hAnsi="Times New Roman" w:cs="Times New Roman"/>
          <w:sz w:val="24"/>
          <w:szCs w:val="24"/>
          <w:lang w:val="en-GB"/>
        </w:rPr>
        <w:t xml:space="preserve"> at least the organiz</w:t>
      </w:r>
      <w:r w:rsidR="00010733">
        <w:rPr>
          <w:rFonts w:ascii="Times New Roman" w:hAnsi="Times New Roman" w:cs="Times New Roman"/>
          <w:sz w:val="24"/>
          <w:szCs w:val="24"/>
          <w:lang w:val="en-GB"/>
        </w:rPr>
        <w:t>ational framework for</w:t>
      </w:r>
      <w:r w:rsidR="00C563AD">
        <w:rPr>
          <w:rFonts w:ascii="Times New Roman" w:hAnsi="Times New Roman" w:cs="Times New Roman"/>
          <w:sz w:val="24"/>
          <w:szCs w:val="24"/>
          <w:lang w:val="en-GB"/>
        </w:rPr>
        <w:t xml:space="preserve"> the judicial organiz</w:t>
      </w:r>
      <w:r w:rsidR="00010733">
        <w:rPr>
          <w:rFonts w:ascii="Times New Roman" w:hAnsi="Times New Roman" w:cs="Times New Roman"/>
          <w:sz w:val="24"/>
          <w:szCs w:val="24"/>
          <w:lang w:val="en-GB"/>
        </w:rPr>
        <w:t>ation.</w:t>
      </w:r>
      <w:r w:rsidR="00010733">
        <w:rPr>
          <w:rStyle w:val="Voetnootmarkering"/>
          <w:rFonts w:ascii="Times New Roman" w:hAnsi="Times New Roman" w:cs="Times New Roman"/>
          <w:sz w:val="24"/>
          <w:szCs w:val="24"/>
          <w:lang w:val="en-GB"/>
        </w:rPr>
        <w:footnoteReference w:id="46"/>
      </w:r>
      <w:r w:rsidR="00D51CD7">
        <w:rPr>
          <w:rFonts w:ascii="Times New Roman" w:hAnsi="Times New Roman" w:cs="Times New Roman"/>
          <w:sz w:val="24"/>
          <w:szCs w:val="24"/>
          <w:lang w:val="en-GB"/>
        </w:rPr>
        <w:t xml:space="preserve"> What </w:t>
      </w:r>
      <w:r w:rsidR="00C563AD">
        <w:rPr>
          <w:rFonts w:ascii="Times New Roman" w:hAnsi="Times New Roman" w:cs="Times New Roman"/>
          <w:sz w:val="24"/>
          <w:szCs w:val="24"/>
          <w:lang w:val="en-GB"/>
        </w:rPr>
        <w:t>exactly constitutes this organiz</w:t>
      </w:r>
      <w:r w:rsidR="00D51CD7">
        <w:rPr>
          <w:rFonts w:ascii="Times New Roman" w:hAnsi="Times New Roman" w:cs="Times New Roman"/>
          <w:sz w:val="24"/>
          <w:szCs w:val="24"/>
          <w:lang w:val="en-GB"/>
        </w:rPr>
        <w:t xml:space="preserve">ational framework is not </w:t>
      </w:r>
      <w:r w:rsidR="00930B4A">
        <w:rPr>
          <w:rFonts w:ascii="Times New Roman" w:hAnsi="Times New Roman" w:cs="Times New Roman"/>
          <w:sz w:val="24"/>
          <w:szCs w:val="24"/>
          <w:lang w:val="en-GB"/>
        </w:rPr>
        <w:t>particularly</w:t>
      </w:r>
      <w:r w:rsidR="00D51CD7">
        <w:rPr>
          <w:rFonts w:ascii="Times New Roman" w:hAnsi="Times New Roman" w:cs="Times New Roman"/>
          <w:sz w:val="24"/>
          <w:szCs w:val="24"/>
          <w:lang w:val="en-GB"/>
        </w:rPr>
        <w:t xml:space="preserve"> clear from the case law of the ECtHR.</w:t>
      </w:r>
      <w:r w:rsidR="001D41B9">
        <w:rPr>
          <w:rFonts w:ascii="Times New Roman" w:hAnsi="Times New Roman" w:cs="Times New Roman"/>
          <w:sz w:val="24"/>
          <w:szCs w:val="24"/>
          <w:lang w:val="en-GB"/>
        </w:rPr>
        <w:t xml:space="preserve"> According to the former European Commission of Human Rights, at least the material and territorial jurisdiction should be laid down in formal legislation.</w:t>
      </w:r>
      <w:r w:rsidR="001D41B9">
        <w:rPr>
          <w:rStyle w:val="Voetnootmarkering"/>
          <w:rFonts w:ascii="Times New Roman" w:hAnsi="Times New Roman" w:cs="Times New Roman"/>
          <w:sz w:val="24"/>
          <w:szCs w:val="24"/>
          <w:lang w:val="en-GB"/>
        </w:rPr>
        <w:footnoteReference w:id="47"/>
      </w:r>
      <w:r w:rsidR="001D41B9">
        <w:rPr>
          <w:rFonts w:ascii="Times New Roman" w:hAnsi="Times New Roman" w:cs="Times New Roman"/>
          <w:sz w:val="24"/>
          <w:szCs w:val="24"/>
          <w:lang w:val="en-GB"/>
        </w:rPr>
        <w:t xml:space="preserve"> </w:t>
      </w:r>
      <w:r w:rsidR="00A2687E">
        <w:rPr>
          <w:rFonts w:ascii="Times New Roman" w:hAnsi="Times New Roman" w:cs="Times New Roman"/>
          <w:sz w:val="24"/>
          <w:szCs w:val="24"/>
          <w:lang w:val="en-GB"/>
        </w:rPr>
        <w:t>However, i</w:t>
      </w:r>
      <w:r w:rsidR="001D41B9" w:rsidRPr="001D41B9">
        <w:rPr>
          <w:rFonts w:ascii="Times New Roman" w:hAnsi="Times New Roman" w:cs="Times New Roman"/>
          <w:sz w:val="24"/>
          <w:szCs w:val="24"/>
          <w:lang w:val="en-GB"/>
        </w:rPr>
        <w:t xml:space="preserve">t is unclear to which extent this principle is also accepted by the </w:t>
      </w:r>
      <w:r w:rsidR="00A2687E">
        <w:rPr>
          <w:rFonts w:ascii="Times New Roman" w:hAnsi="Times New Roman" w:cs="Times New Roman"/>
          <w:sz w:val="24"/>
          <w:szCs w:val="24"/>
          <w:lang w:val="en-GB"/>
        </w:rPr>
        <w:t>ECtHR</w:t>
      </w:r>
      <w:r w:rsidR="001D41B9" w:rsidRPr="001D41B9">
        <w:rPr>
          <w:rFonts w:ascii="Times New Roman" w:hAnsi="Times New Roman" w:cs="Times New Roman"/>
          <w:sz w:val="24"/>
          <w:szCs w:val="24"/>
          <w:lang w:val="en-GB"/>
        </w:rPr>
        <w:t xml:space="preserve"> itself. In a handful of cases, the Court has referred to this principle, but it</w:t>
      </w:r>
      <w:r w:rsidR="003608C8">
        <w:rPr>
          <w:rFonts w:ascii="Times New Roman" w:hAnsi="Times New Roman" w:cs="Times New Roman"/>
          <w:sz w:val="24"/>
          <w:szCs w:val="24"/>
          <w:lang w:val="en-GB"/>
        </w:rPr>
        <w:t xml:space="preserve"> has</w:t>
      </w:r>
      <w:r w:rsidR="001D41B9" w:rsidRPr="001D41B9">
        <w:rPr>
          <w:rFonts w:ascii="Times New Roman" w:hAnsi="Times New Roman" w:cs="Times New Roman"/>
          <w:sz w:val="24"/>
          <w:szCs w:val="24"/>
          <w:lang w:val="en-GB"/>
        </w:rPr>
        <w:t xml:space="preserve"> always expressly mentioned that this was the opinion of the former Commission.</w:t>
      </w:r>
      <w:r w:rsidR="001D41B9">
        <w:rPr>
          <w:rStyle w:val="Voetnootmarkering"/>
          <w:rFonts w:ascii="Times New Roman" w:hAnsi="Times New Roman" w:cs="Times New Roman"/>
          <w:sz w:val="24"/>
          <w:szCs w:val="24"/>
          <w:lang w:val="en-GB"/>
        </w:rPr>
        <w:footnoteReference w:id="48"/>
      </w:r>
    </w:p>
    <w:p w14:paraId="79695E35" w14:textId="7A65FD54" w:rsidR="001D41B9" w:rsidRDefault="00A2687E"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Thus, both the ECJ and the ECtHR have discerned two dimensions in the right to a tribunal established by law. </w:t>
      </w:r>
      <w:r w:rsidR="00C975D0">
        <w:rPr>
          <w:rFonts w:ascii="Times New Roman" w:hAnsi="Times New Roman" w:cs="Times New Roman"/>
          <w:sz w:val="24"/>
          <w:szCs w:val="24"/>
          <w:lang w:val="en-GB"/>
        </w:rPr>
        <w:t xml:space="preserve">The judgments in </w:t>
      </w:r>
      <w:r w:rsidR="00C975D0">
        <w:rPr>
          <w:rFonts w:ascii="Times New Roman" w:hAnsi="Times New Roman" w:cs="Times New Roman"/>
          <w:i/>
          <w:sz w:val="24"/>
          <w:szCs w:val="24"/>
          <w:lang w:val="en-GB"/>
        </w:rPr>
        <w:t>FV</w:t>
      </w:r>
      <w:r w:rsidR="00C975D0">
        <w:rPr>
          <w:rFonts w:ascii="Times New Roman" w:hAnsi="Times New Roman" w:cs="Times New Roman"/>
          <w:sz w:val="24"/>
          <w:szCs w:val="24"/>
          <w:lang w:val="en-GB"/>
        </w:rPr>
        <w:t xml:space="preserve">, </w:t>
      </w:r>
      <w:proofErr w:type="spellStart"/>
      <w:r w:rsidR="00C975D0" w:rsidRPr="009F057C">
        <w:rPr>
          <w:rFonts w:ascii="Times New Roman" w:hAnsi="Times New Roman" w:cs="Times New Roman"/>
          <w:i/>
          <w:sz w:val="24"/>
          <w:szCs w:val="24"/>
          <w:lang w:val="en-GB"/>
        </w:rPr>
        <w:t>Ástráðsson</w:t>
      </w:r>
      <w:proofErr w:type="spellEnd"/>
      <w:r w:rsidR="00C975D0">
        <w:rPr>
          <w:rFonts w:ascii="Times New Roman" w:hAnsi="Times New Roman" w:cs="Times New Roman"/>
          <w:sz w:val="24"/>
          <w:szCs w:val="24"/>
          <w:lang w:val="en-GB"/>
        </w:rPr>
        <w:t xml:space="preserve"> and </w:t>
      </w:r>
      <w:r w:rsidR="00E324B4">
        <w:rPr>
          <w:rFonts w:ascii="Times New Roman" w:hAnsi="Times New Roman" w:cs="Times New Roman"/>
          <w:i/>
          <w:sz w:val="24"/>
          <w:szCs w:val="24"/>
          <w:lang w:val="en-GB"/>
        </w:rPr>
        <w:t>Review</w:t>
      </w:r>
      <w:r w:rsidR="00C975D0">
        <w:rPr>
          <w:rFonts w:ascii="Times New Roman" w:hAnsi="Times New Roman" w:cs="Times New Roman"/>
          <w:i/>
          <w:sz w:val="24"/>
          <w:szCs w:val="24"/>
          <w:lang w:val="en-GB"/>
        </w:rPr>
        <w:t xml:space="preserve"> Simpson </w:t>
      </w:r>
      <w:r w:rsidR="00C975D0">
        <w:rPr>
          <w:rFonts w:ascii="Times New Roman" w:hAnsi="Times New Roman" w:cs="Times New Roman"/>
          <w:sz w:val="24"/>
          <w:szCs w:val="24"/>
          <w:lang w:val="en-GB"/>
        </w:rPr>
        <w:t xml:space="preserve">have added a third dimension. They </w:t>
      </w:r>
      <w:r>
        <w:rPr>
          <w:rFonts w:ascii="Times New Roman" w:hAnsi="Times New Roman" w:cs="Times New Roman"/>
          <w:sz w:val="24"/>
          <w:szCs w:val="24"/>
          <w:lang w:val="en-GB"/>
        </w:rPr>
        <w:t xml:space="preserve">have </w:t>
      </w:r>
      <w:r w:rsidR="00C975D0">
        <w:rPr>
          <w:rFonts w:ascii="Times New Roman" w:hAnsi="Times New Roman" w:cs="Times New Roman"/>
          <w:sz w:val="24"/>
          <w:szCs w:val="24"/>
          <w:lang w:val="en-GB"/>
        </w:rPr>
        <w:t xml:space="preserve">made clear that the term </w:t>
      </w:r>
      <w:r w:rsidR="00930B4A">
        <w:rPr>
          <w:rFonts w:ascii="Times New Roman" w:hAnsi="Times New Roman" w:cs="Times New Roman"/>
          <w:sz w:val="24"/>
          <w:szCs w:val="24"/>
          <w:lang w:val="en-GB"/>
        </w:rPr>
        <w:t>‘</w:t>
      </w:r>
      <w:r w:rsidR="00C975D0">
        <w:rPr>
          <w:rFonts w:ascii="Times New Roman" w:hAnsi="Times New Roman" w:cs="Times New Roman"/>
          <w:sz w:val="24"/>
          <w:szCs w:val="24"/>
          <w:lang w:val="en-GB"/>
        </w:rPr>
        <w:t>established by law</w:t>
      </w:r>
      <w:r w:rsidR="00930B4A">
        <w:rPr>
          <w:rFonts w:ascii="Times New Roman" w:hAnsi="Times New Roman" w:cs="Times New Roman"/>
          <w:sz w:val="24"/>
          <w:szCs w:val="24"/>
          <w:lang w:val="en-GB"/>
        </w:rPr>
        <w:t>’</w:t>
      </w:r>
      <w:r w:rsidR="00C975D0">
        <w:rPr>
          <w:rFonts w:ascii="Times New Roman" w:hAnsi="Times New Roman" w:cs="Times New Roman"/>
          <w:sz w:val="24"/>
          <w:szCs w:val="24"/>
          <w:lang w:val="en-GB"/>
        </w:rPr>
        <w:t xml:space="preserve"> does not only require compliance with the domestic provisions that govern the function and composition of a tribunal, but also with the provisions that govern the appointment of judges. In doing so, these judgments have broaden</w:t>
      </w:r>
      <w:r w:rsidR="00E5382C">
        <w:rPr>
          <w:rFonts w:ascii="Times New Roman" w:hAnsi="Times New Roman" w:cs="Times New Roman"/>
          <w:sz w:val="24"/>
          <w:szCs w:val="24"/>
          <w:lang w:val="en-GB"/>
        </w:rPr>
        <w:t>ed the sco</w:t>
      </w:r>
      <w:r w:rsidR="00C975D0">
        <w:rPr>
          <w:rFonts w:ascii="Times New Roman" w:hAnsi="Times New Roman" w:cs="Times New Roman"/>
          <w:sz w:val="24"/>
          <w:szCs w:val="24"/>
          <w:lang w:val="en-GB"/>
        </w:rPr>
        <w:t xml:space="preserve">pe of the right to a tribunal established by law. </w:t>
      </w:r>
      <w:r w:rsidR="003B22F6">
        <w:rPr>
          <w:rFonts w:ascii="Times New Roman" w:hAnsi="Times New Roman" w:cs="Times New Roman"/>
          <w:sz w:val="24"/>
          <w:szCs w:val="24"/>
          <w:lang w:val="en-GB"/>
        </w:rPr>
        <w:t xml:space="preserve">Furthermore, the ECJ stressed the importance of this right, by clarifying that every court is obliged to check </w:t>
      </w:r>
      <w:r>
        <w:rPr>
          <w:rFonts w:ascii="Times New Roman" w:hAnsi="Times New Roman" w:cs="Times New Roman"/>
          <w:sz w:val="24"/>
          <w:szCs w:val="24"/>
          <w:lang w:val="en-GB"/>
        </w:rPr>
        <w:t xml:space="preserve">of its own motion </w:t>
      </w:r>
      <w:r w:rsidR="003B22F6">
        <w:rPr>
          <w:rFonts w:ascii="Times New Roman" w:hAnsi="Times New Roman" w:cs="Times New Roman"/>
          <w:sz w:val="24"/>
          <w:szCs w:val="24"/>
          <w:lang w:val="en-GB"/>
        </w:rPr>
        <w:t xml:space="preserve">whether it is itself established by law, </w:t>
      </w:r>
      <w:r>
        <w:rPr>
          <w:rFonts w:ascii="Times New Roman" w:hAnsi="Times New Roman" w:cs="Times New Roman"/>
          <w:sz w:val="24"/>
          <w:szCs w:val="24"/>
          <w:lang w:val="en-GB"/>
        </w:rPr>
        <w:t>wherever</w:t>
      </w:r>
      <w:r w:rsidR="003B22F6">
        <w:rPr>
          <w:rFonts w:ascii="Times New Roman" w:hAnsi="Times New Roman" w:cs="Times New Roman"/>
          <w:sz w:val="24"/>
          <w:szCs w:val="24"/>
          <w:lang w:val="en-GB"/>
        </w:rPr>
        <w:t xml:space="preserve"> a serious doubt arises on that point.</w:t>
      </w:r>
      <w:r w:rsidR="003B22F6">
        <w:rPr>
          <w:rStyle w:val="Voetnootmarkering"/>
          <w:rFonts w:ascii="Times New Roman" w:hAnsi="Times New Roman" w:cs="Times New Roman"/>
          <w:sz w:val="24"/>
          <w:szCs w:val="24"/>
          <w:lang w:val="en-GB"/>
        </w:rPr>
        <w:footnoteReference w:id="49"/>
      </w:r>
    </w:p>
    <w:p w14:paraId="79721EF9" w14:textId="39B60E7A" w:rsidR="00C975D0" w:rsidRDefault="00C975D0"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the ECJ and the </w:t>
      </w:r>
      <w:r w:rsidR="00B369BD">
        <w:rPr>
          <w:rFonts w:ascii="Times New Roman" w:hAnsi="Times New Roman" w:cs="Times New Roman"/>
          <w:sz w:val="24"/>
          <w:szCs w:val="24"/>
          <w:lang w:val="en-GB"/>
        </w:rPr>
        <w:t>ECtHR</w:t>
      </w:r>
      <w:r>
        <w:rPr>
          <w:rFonts w:ascii="Times New Roman" w:hAnsi="Times New Roman" w:cs="Times New Roman"/>
          <w:sz w:val="24"/>
          <w:szCs w:val="24"/>
          <w:lang w:val="en-GB"/>
        </w:rPr>
        <w:t xml:space="preserve"> rely on the principle of the separation of powers in their </w:t>
      </w:r>
      <w:r w:rsidR="00ED6C36">
        <w:rPr>
          <w:rFonts w:ascii="Times New Roman" w:hAnsi="Times New Roman" w:cs="Times New Roman"/>
          <w:sz w:val="24"/>
          <w:szCs w:val="24"/>
          <w:lang w:val="en-GB"/>
        </w:rPr>
        <w:t>reasoning</w:t>
      </w:r>
      <w:r w:rsidR="009D2EFE">
        <w:rPr>
          <w:rFonts w:ascii="Times New Roman" w:hAnsi="Times New Roman" w:cs="Times New Roman"/>
          <w:sz w:val="24"/>
          <w:szCs w:val="24"/>
          <w:lang w:val="en-GB"/>
        </w:rPr>
        <w:t xml:space="preserve"> and do so in very similar fashion</w:t>
      </w:r>
      <w:r>
        <w:rPr>
          <w:rFonts w:ascii="Times New Roman" w:hAnsi="Times New Roman" w:cs="Times New Roman"/>
          <w:sz w:val="24"/>
          <w:szCs w:val="24"/>
          <w:lang w:val="en-GB"/>
        </w:rPr>
        <w:t>.</w:t>
      </w:r>
      <w:r w:rsidR="00ED6C36">
        <w:rPr>
          <w:rFonts w:ascii="Times New Roman" w:hAnsi="Times New Roman" w:cs="Times New Roman"/>
          <w:sz w:val="24"/>
          <w:szCs w:val="24"/>
          <w:lang w:val="en-GB"/>
        </w:rPr>
        <w:t xml:space="preserve"> The </w:t>
      </w:r>
      <w:r w:rsidR="002849F5">
        <w:rPr>
          <w:rFonts w:ascii="Times New Roman" w:hAnsi="Times New Roman" w:cs="Times New Roman"/>
          <w:sz w:val="24"/>
          <w:szCs w:val="24"/>
          <w:lang w:val="en-GB"/>
        </w:rPr>
        <w:t>ECtHR</w:t>
      </w:r>
      <w:r w:rsidR="00ED6C36">
        <w:rPr>
          <w:rFonts w:ascii="Times New Roman" w:hAnsi="Times New Roman" w:cs="Times New Roman"/>
          <w:sz w:val="24"/>
          <w:szCs w:val="24"/>
          <w:lang w:val="en-GB"/>
        </w:rPr>
        <w:t xml:space="preserve"> reiterated the growing importance that the notions of separation of powers and judicial independence assume in its case law and stated that, in light of those principles, it should ascertain </w:t>
      </w:r>
      <w:r w:rsidR="009D2EFE">
        <w:rPr>
          <w:rFonts w:ascii="Times New Roman" w:hAnsi="Times New Roman" w:cs="Times New Roman"/>
          <w:sz w:val="24"/>
          <w:szCs w:val="24"/>
          <w:lang w:val="en-GB"/>
        </w:rPr>
        <w:t xml:space="preserve">whether the breach of the applicable rules during the appointment proceedings created a real risk that the other organs of government, in particular the executive, </w:t>
      </w:r>
      <w:r w:rsidR="00C563AD">
        <w:rPr>
          <w:rFonts w:ascii="Times New Roman" w:hAnsi="Times New Roman" w:cs="Times New Roman"/>
          <w:sz w:val="24"/>
          <w:szCs w:val="24"/>
          <w:lang w:val="en-GB"/>
        </w:rPr>
        <w:t>exercised</w:t>
      </w:r>
      <w:r w:rsidR="009D2EFE">
        <w:rPr>
          <w:rFonts w:ascii="Times New Roman" w:hAnsi="Times New Roman" w:cs="Times New Roman"/>
          <w:sz w:val="24"/>
          <w:szCs w:val="24"/>
          <w:lang w:val="en-GB"/>
        </w:rPr>
        <w:t xml:space="preserve"> undue discretion undermining the integrity of the appointment process.</w:t>
      </w:r>
      <w:r w:rsidR="009D2EFE">
        <w:rPr>
          <w:rStyle w:val="Voetnootmarkering"/>
          <w:rFonts w:ascii="Times New Roman" w:hAnsi="Times New Roman" w:cs="Times New Roman"/>
          <w:sz w:val="24"/>
          <w:szCs w:val="24"/>
          <w:lang w:val="en-GB"/>
        </w:rPr>
        <w:footnoteReference w:id="50"/>
      </w:r>
      <w:r w:rsidR="009D2EFE">
        <w:rPr>
          <w:rFonts w:ascii="Times New Roman" w:hAnsi="Times New Roman" w:cs="Times New Roman"/>
          <w:sz w:val="24"/>
          <w:szCs w:val="24"/>
          <w:lang w:val="en-GB"/>
        </w:rPr>
        <w:t xml:space="preserve"> The ECJ held that an irregularity during the appointment of judges entails an infringement of the right to </w:t>
      </w:r>
      <w:r w:rsidR="005160FD">
        <w:rPr>
          <w:rFonts w:ascii="Times New Roman" w:hAnsi="Times New Roman" w:cs="Times New Roman"/>
          <w:sz w:val="24"/>
          <w:szCs w:val="24"/>
          <w:lang w:val="en-GB"/>
        </w:rPr>
        <w:t xml:space="preserve">a </w:t>
      </w:r>
      <w:r w:rsidR="009D2EFE">
        <w:rPr>
          <w:rFonts w:ascii="Times New Roman" w:hAnsi="Times New Roman" w:cs="Times New Roman"/>
          <w:sz w:val="24"/>
          <w:szCs w:val="24"/>
          <w:lang w:val="en-GB"/>
        </w:rPr>
        <w:t>tribunal established by law, particularly when that irregularity is of such a kind and of such gravity as to create a real risk that other branches of the State, in particular the executive, could exercise undue discretion undermining the integrity of the outcome of the appointment process.</w:t>
      </w:r>
      <w:r w:rsidR="009D2EFE">
        <w:rPr>
          <w:rStyle w:val="Voetnootmarkering"/>
          <w:rFonts w:ascii="Times New Roman" w:hAnsi="Times New Roman" w:cs="Times New Roman"/>
          <w:sz w:val="24"/>
          <w:szCs w:val="24"/>
          <w:lang w:val="en-GB"/>
        </w:rPr>
        <w:footnoteReference w:id="51"/>
      </w:r>
      <w:r w:rsidR="00DD4980">
        <w:rPr>
          <w:rFonts w:ascii="Times New Roman" w:hAnsi="Times New Roman" w:cs="Times New Roman"/>
          <w:sz w:val="24"/>
          <w:szCs w:val="24"/>
          <w:lang w:val="en-GB"/>
        </w:rPr>
        <w:t xml:space="preserve"> In this sense, these</w:t>
      </w:r>
      <w:r w:rsidR="009D2EFE">
        <w:rPr>
          <w:rFonts w:ascii="Times New Roman" w:hAnsi="Times New Roman" w:cs="Times New Roman"/>
          <w:sz w:val="24"/>
          <w:szCs w:val="24"/>
          <w:lang w:val="en-GB"/>
        </w:rPr>
        <w:t xml:space="preserve"> judgm</w:t>
      </w:r>
      <w:r w:rsidR="00DD4980">
        <w:rPr>
          <w:rFonts w:ascii="Times New Roman" w:hAnsi="Times New Roman" w:cs="Times New Roman"/>
          <w:sz w:val="24"/>
          <w:szCs w:val="24"/>
          <w:lang w:val="en-GB"/>
        </w:rPr>
        <w:t xml:space="preserve">ents can be seen as </w:t>
      </w:r>
      <w:r w:rsidR="005160FD">
        <w:rPr>
          <w:rFonts w:ascii="Times New Roman" w:hAnsi="Times New Roman" w:cs="Times New Roman"/>
          <w:sz w:val="24"/>
          <w:szCs w:val="24"/>
          <w:lang w:val="en-GB"/>
        </w:rPr>
        <w:t>further evidence</w:t>
      </w:r>
      <w:r w:rsidR="00DD4980">
        <w:rPr>
          <w:rFonts w:ascii="Times New Roman" w:hAnsi="Times New Roman" w:cs="Times New Roman"/>
          <w:sz w:val="24"/>
          <w:szCs w:val="24"/>
          <w:lang w:val="en-GB"/>
        </w:rPr>
        <w:t xml:space="preserve"> of how both Courts are increasingly dea</w:t>
      </w:r>
      <w:r w:rsidR="00A2687E">
        <w:rPr>
          <w:rFonts w:ascii="Times New Roman" w:hAnsi="Times New Roman" w:cs="Times New Roman"/>
          <w:sz w:val="24"/>
          <w:szCs w:val="24"/>
          <w:lang w:val="en-GB"/>
        </w:rPr>
        <w:t>ling with topics that affect the</w:t>
      </w:r>
      <w:r w:rsidR="00DD4980">
        <w:rPr>
          <w:rFonts w:ascii="Times New Roman" w:hAnsi="Times New Roman" w:cs="Times New Roman"/>
          <w:sz w:val="24"/>
          <w:szCs w:val="24"/>
          <w:lang w:val="en-GB"/>
        </w:rPr>
        <w:t xml:space="preserve"> balance </w:t>
      </w:r>
      <w:r w:rsidR="00A2687E">
        <w:rPr>
          <w:rFonts w:ascii="Times New Roman" w:hAnsi="Times New Roman" w:cs="Times New Roman"/>
          <w:sz w:val="24"/>
          <w:szCs w:val="24"/>
          <w:lang w:val="en-GB"/>
        </w:rPr>
        <w:t>of power between the branches of government</w:t>
      </w:r>
      <w:r w:rsidR="00DD4980">
        <w:rPr>
          <w:rFonts w:ascii="Times New Roman" w:hAnsi="Times New Roman" w:cs="Times New Roman"/>
          <w:sz w:val="24"/>
          <w:szCs w:val="24"/>
          <w:lang w:val="en-GB"/>
        </w:rPr>
        <w:t>.</w:t>
      </w:r>
      <w:r w:rsidR="003608C8">
        <w:rPr>
          <w:rStyle w:val="Voetnootmarkering"/>
          <w:rFonts w:ascii="Times New Roman" w:hAnsi="Times New Roman" w:cs="Times New Roman"/>
          <w:sz w:val="24"/>
          <w:szCs w:val="24"/>
          <w:lang w:val="en-GB"/>
        </w:rPr>
        <w:footnoteReference w:id="52"/>
      </w:r>
      <w:r w:rsidR="00DD4980">
        <w:rPr>
          <w:rFonts w:ascii="Times New Roman" w:hAnsi="Times New Roman" w:cs="Times New Roman"/>
          <w:sz w:val="24"/>
          <w:szCs w:val="24"/>
          <w:lang w:val="en-GB"/>
        </w:rPr>
        <w:t xml:space="preserve"> </w:t>
      </w:r>
    </w:p>
    <w:p w14:paraId="02BC194B" w14:textId="76910B0E" w:rsidR="00DD4980" w:rsidRDefault="009F588B" w:rsidP="00C91B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 what exactly is the </w:t>
      </w:r>
      <w:r w:rsidR="005160FD">
        <w:rPr>
          <w:rFonts w:ascii="Times New Roman" w:hAnsi="Times New Roman" w:cs="Times New Roman"/>
          <w:sz w:val="24"/>
          <w:szCs w:val="24"/>
          <w:lang w:val="en-GB"/>
        </w:rPr>
        <w:t>level</w:t>
      </w:r>
      <w:r>
        <w:rPr>
          <w:rFonts w:ascii="Times New Roman" w:hAnsi="Times New Roman" w:cs="Times New Roman"/>
          <w:sz w:val="24"/>
          <w:szCs w:val="24"/>
          <w:lang w:val="en-GB"/>
        </w:rPr>
        <w:t xml:space="preserve"> of protection </w:t>
      </w:r>
      <w:r w:rsidR="00B842B2">
        <w:rPr>
          <w:rFonts w:ascii="Times New Roman" w:hAnsi="Times New Roman" w:cs="Times New Roman"/>
          <w:sz w:val="24"/>
          <w:szCs w:val="24"/>
          <w:lang w:val="en-GB"/>
        </w:rPr>
        <w:t>which</w:t>
      </w:r>
      <w:r>
        <w:rPr>
          <w:rFonts w:ascii="Times New Roman" w:hAnsi="Times New Roman" w:cs="Times New Roman"/>
          <w:sz w:val="24"/>
          <w:szCs w:val="24"/>
          <w:lang w:val="en-GB"/>
        </w:rPr>
        <w:t xml:space="preserve"> the right to a tribunal established by law</w:t>
      </w:r>
      <w:r w:rsidR="00B842B2">
        <w:rPr>
          <w:rFonts w:ascii="Times New Roman" w:hAnsi="Times New Roman" w:cs="Times New Roman"/>
          <w:sz w:val="24"/>
          <w:szCs w:val="24"/>
          <w:lang w:val="en-GB"/>
        </w:rPr>
        <w:t xml:space="preserve"> affords to judicial appointment proceedings</w:t>
      </w:r>
      <w:r>
        <w:rPr>
          <w:rFonts w:ascii="Times New Roman" w:hAnsi="Times New Roman" w:cs="Times New Roman"/>
          <w:sz w:val="24"/>
          <w:szCs w:val="24"/>
          <w:lang w:val="en-GB"/>
        </w:rPr>
        <w:t>? As opposed to the approach taken by Advocate General S</w:t>
      </w:r>
      <w:r w:rsidR="00234CAE">
        <w:rPr>
          <w:rFonts w:ascii="Times New Roman" w:hAnsi="Times New Roman" w:cs="Times New Roman"/>
          <w:sz w:val="24"/>
          <w:szCs w:val="24"/>
          <w:lang w:val="en-GB"/>
        </w:rPr>
        <w:t>harpston</w:t>
      </w:r>
      <w:r>
        <w:rPr>
          <w:rFonts w:ascii="Times New Roman" w:hAnsi="Times New Roman" w:cs="Times New Roman"/>
          <w:sz w:val="24"/>
          <w:szCs w:val="24"/>
          <w:lang w:val="en-GB"/>
        </w:rPr>
        <w:t>, the ECJ does not impose a duty to balance the right to a tribunal established by law and the principle of legal certainty.</w:t>
      </w:r>
      <w:r w:rsidR="00A81D8C">
        <w:rPr>
          <w:rStyle w:val="Voetnootmarkering"/>
          <w:rFonts w:ascii="Times New Roman" w:hAnsi="Times New Roman" w:cs="Times New Roman"/>
          <w:sz w:val="24"/>
          <w:szCs w:val="24"/>
          <w:lang w:val="en-GB"/>
        </w:rPr>
        <w:footnoteReference w:id="53"/>
      </w:r>
      <w:r>
        <w:rPr>
          <w:rFonts w:ascii="Times New Roman" w:hAnsi="Times New Roman" w:cs="Times New Roman"/>
          <w:sz w:val="24"/>
          <w:szCs w:val="24"/>
          <w:lang w:val="en-GB"/>
        </w:rPr>
        <w:t xml:space="preserve"> </w:t>
      </w:r>
      <w:r w:rsidR="00A81D8C">
        <w:rPr>
          <w:rFonts w:ascii="Times New Roman" w:hAnsi="Times New Roman" w:cs="Times New Roman"/>
          <w:sz w:val="24"/>
          <w:szCs w:val="24"/>
          <w:lang w:val="en-GB"/>
        </w:rPr>
        <w:t xml:space="preserve">The principle of legal certainty </w:t>
      </w:r>
      <w:r w:rsidR="00234CAE">
        <w:rPr>
          <w:rFonts w:ascii="Times New Roman" w:hAnsi="Times New Roman" w:cs="Times New Roman"/>
          <w:sz w:val="24"/>
          <w:szCs w:val="24"/>
          <w:lang w:val="en-GB"/>
        </w:rPr>
        <w:t>is not even mentioned</w:t>
      </w:r>
      <w:r w:rsidR="00A81D8C">
        <w:rPr>
          <w:rFonts w:ascii="Times New Roman" w:hAnsi="Times New Roman" w:cs="Times New Roman"/>
          <w:sz w:val="24"/>
          <w:szCs w:val="24"/>
          <w:lang w:val="en-GB"/>
        </w:rPr>
        <w:t xml:space="preserve"> once </w:t>
      </w:r>
      <w:r w:rsidR="00234CAE">
        <w:rPr>
          <w:rFonts w:ascii="Times New Roman" w:hAnsi="Times New Roman" w:cs="Times New Roman"/>
          <w:sz w:val="24"/>
          <w:szCs w:val="24"/>
          <w:lang w:val="en-GB"/>
        </w:rPr>
        <w:t>by the ECJ</w:t>
      </w:r>
      <w:r w:rsidR="00A81D8C">
        <w:rPr>
          <w:rFonts w:ascii="Times New Roman" w:hAnsi="Times New Roman" w:cs="Times New Roman"/>
          <w:sz w:val="24"/>
          <w:szCs w:val="24"/>
          <w:lang w:val="en-GB"/>
        </w:rPr>
        <w:t xml:space="preserve">. Rather, the Court follows an approach that is more closely linked to </w:t>
      </w:r>
      <w:r w:rsidR="00895DE1">
        <w:rPr>
          <w:rFonts w:ascii="Times New Roman" w:hAnsi="Times New Roman" w:cs="Times New Roman"/>
          <w:sz w:val="24"/>
          <w:szCs w:val="24"/>
          <w:lang w:val="en-GB"/>
        </w:rPr>
        <w:t>the one</w:t>
      </w:r>
      <w:r w:rsidR="00A81D8C">
        <w:rPr>
          <w:rFonts w:ascii="Times New Roman" w:hAnsi="Times New Roman" w:cs="Times New Roman"/>
          <w:sz w:val="24"/>
          <w:szCs w:val="24"/>
          <w:lang w:val="en-GB"/>
        </w:rPr>
        <w:t xml:space="preserve"> followed by the Strasbourg Court and </w:t>
      </w:r>
      <w:r w:rsidR="00FF203A">
        <w:rPr>
          <w:rFonts w:ascii="Times New Roman" w:hAnsi="Times New Roman" w:cs="Times New Roman"/>
          <w:sz w:val="24"/>
          <w:szCs w:val="24"/>
          <w:lang w:val="en-GB"/>
        </w:rPr>
        <w:t>imposes</w:t>
      </w:r>
      <w:r w:rsidR="00895DE1">
        <w:rPr>
          <w:rFonts w:ascii="Times New Roman" w:hAnsi="Times New Roman" w:cs="Times New Roman"/>
          <w:sz w:val="24"/>
          <w:szCs w:val="24"/>
          <w:lang w:val="en-GB"/>
        </w:rPr>
        <w:t xml:space="preserve"> a threshold of minimum severity. Whereas the ECtHR requires the irregularity during the appointment proceedings to be flagrant, the ECJ </w:t>
      </w:r>
      <w:r w:rsidR="00234CAE">
        <w:rPr>
          <w:rFonts w:ascii="Times New Roman" w:hAnsi="Times New Roman" w:cs="Times New Roman"/>
          <w:sz w:val="24"/>
          <w:szCs w:val="24"/>
          <w:lang w:val="en-GB"/>
        </w:rPr>
        <w:t>holds</w:t>
      </w:r>
      <w:r w:rsidR="00895DE1">
        <w:rPr>
          <w:rFonts w:ascii="Times New Roman" w:hAnsi="Times New Roman" w:cs="Times New Roman"/>
          <w:sz w:val="24"/>
          <w:szCs w:val="24"/>
          <w:lang w:val="en-GB"/>
        </w:rPr>
        <w:t xml:space="preserve"> that an irregularity during the appointment proceeding entails an infringement of the right to a tribunal established by law, particularly when that irregularity is of such a kind </w:t>
      </w:r>
      <w:r w:rsidR="00B34D30">
        <w:rPr>
          <w:rFonts w:ascii="Times New Roman" w:hAnsi="Times New Roman" w:cs="Times New Roman"/>
          <w:sz w:val="24"/>
          <w:szCs w:val="24"/>
          <w:lang w:val="en-GB"/>
        </w:rPr>
        <w:t xml:space="preserve">as </w:t>
      </w:r>
      <w:r w:rsidR="00895DE1">
        <w:rPr>
          <w:rFonts w:ascii="Times New Roman" w:hAnsi="Times New Roman" w:cs="Times New Roman"/>
          <w:sz w:val="24"/>
          <w:szCs w:val="24"/>
          <w:lang w:val="en-GB"/>
        </w:rPr>
        <w:t>to give rise to a reasonable doubt in the minds of individuals as to the independence and the impartiality of the judge or judges concerned.</w:t>
      </w:r>
      <w:r w:rsidR="00895DE1">
        <w:rPr>
          <w:rStyle w:val="Voetnootmarkering"/>
          <w:rFonts w:ascii="Times New Roman" w:hAnsi="Times New Roman" w:cs="Times New Roman"/>
          <w:sz w:val="24"/>
          <w:szCs w:val="24"/>
          <w:lang w:val="en-GB"/>
        </w:rPr>
        <w:footnoteReference w:id="54"/>
      </w:r>
      <w:r w:rsidR="00895DE1">
        <w:rPr>
          <w:rFonts w:ascii="Times New Roman" w:hAnsi="Times New Roman" w:cs="Times New Roman"/>
          <w:sz w:val="24"/>
          <w:szCs w:val="24"/>
          <w:lang w:val="en-GB"/>
        </w:rPr>
        <w:t xml:space="preserve"> </w:t>
      </w:r>
      <w:r w:rsidR="00C33556">
        <w:rPr>
          <w:rFonts w:ascii="Times New Roman" w:hAnsi="Times New Roman" w:cs="Times New Roman"/>
          <w:sz w:val="24"/>
          <w:szCs w:val="24"/>
          <w:lang w:val="en-GB"/>
        </w:rPr>
        <w:t xml:space="preserve">This threshold closely resembles the one which the Court </w:t>
      </w:r>
      <w:r w:rsidR="00C33556">
        <w:rPr>
          <w:rFonts w:ascii="Times New Roman" w:hAnsi="Times New Roman" w:cs="Times New Roman"/>
          <w:sz w:val="24"/>
          <w:szCs w:val="24"/>
          <w:lang w:val="en-GB"/>
        </w:rPr>
        <w:lastRenderedPageBreak/>
        <w:t xml:space="preserve">recently imposed in the judgment of </w:t>
      </w:r>
      <w:r w:rsidR="00C33556">
        <w:rPr>
          <w:rFonts w:ascii="Times New Roman" w:hAnsi="Times New Roman" w:cs="Times New Roman"/>
          <w:i/>
          <w:sz w:val="24"/>
          <w:szCs w:val="24"/>
          <w:lang w:val="en-GB"/>
        </w:rPr>
        <w:t>A. K., CP and DO</w:t>
      </w:r>
      <w:r w:rsidR="00C33556">
        <w:rPr>
          <w:rFonts w:ascii="Times New Roman" w:hAnsi="Times New Roman" w:cs="Times New Roman"/>
          <w:sz w:val="24"/>
          <w:szCs w:val="24"/>
          <w:lang w:val="en-GB"/>
        </w:rPr>
        <w:t xml:space="preserve">. </w:t>
      </w:r>
      <w:r w:rsidR="00D93877">
        <w:rPr>
          <w:rFonts w:ascii="Times New Roman" w:hAnsi="Times New Roman" w:cs="Times New Roman"/>
          <w:sz w:val="24"/>
          <w:szCs w:val="24"/>
          <w:lang w:val="en-GB"/>
        </w:rPr>
        <w:t>In that case, th</w:t>
      </w:r>
      <w:r w:rsidR="00234CAE">
        <w:rPr>
          <w:rFonts w:ascii="Times New Roman" w:hAnsi="Times New Roman" w:cs="Times New Roman"/>
          <w:sz w:val="24"/>
          <w:szCs w:val="24"/>
          <w:lang w:val="en-GB"/>
        </w:rPr>
        <w:t>e Court required the referring national c</w:t>
      </w:r>
      <w:r w:rsidR="00D93877">
        <w:rPr>
          <w:rFonts w:ascii="Times New Roman" w:hAnsi="Times New Roman" w:cs="Times New Roman"/>
          <w:sz w:val="24"/>
          <w:szCs w:val="24"/>
          <w:lang w:val="en-GB"/>
        </w:rPr>
        <w:t>ourt to assess whether all factors taken together are capable of giving rise to legitimate doubts in the minds of subject</w:t>
      </w:r>
      <w:r w:rsidR="00FF203A">
        <w:rPr>
          <w:rFonts w:ascii="Times New Roman" w:hAnsi="Times New Roman" w:cs="Times New Roman"/>
          <w:sz w:val="24"/>
          <w:szCs w:val="24"/>
          <w:lang w:val="en-GB"/>
        </w:rPr>
        <w:t>s</w:t>
      </w:r>
      <w:r w:rsidR="00D93877">
        <w:rPr>
          <w:rFonts w:ascii="Times New Roman" w:hAnsi="Times New Roman" w:cs="Times New Roman"/>
          <w:sz w:val="24"/>
          <w:szCs w:val="24"/>
          <w:lang w:val="en-GB"/>
        </w:rPr>
        <w:t xml:space="preserve"> of the law, as to the imperviousness of the Polish Disciplinary Chamber </w:t>
      </w:r>
      <w:r w:rsidR="006736A0">
        <w:rPr>
          <w:rFonts w:ascii="Times New Roman" w:hAnsi="Times New Roman" w:cs="Times New Roman"/>
          <w:sz w:val="24"/>
          <w:szCs w:val="24"/>
          <w:lang w:val="en-GB"/>
        </w:rPr>
        <w:t>to external factors and whether they may lead to that chamber not being seen to be independent and impartial.</w:t>
      </w:r>
      <w:r w:rsidR="006736A0">
        <w:rPr>
          <w:rStyle w:val="Voetnootmarkering"/>
          <w:rFonts w:ascii="Times New Roman" w:hAnsi="Times New Roman" w:cs="Times New Roman"/>
          <w:sz w:val="24"/>
          <w:szCs w:val="24"/>
          <w:lang w:val="en-GB"/>
        </w:rPr>
        <w:footnoteReference w:id="55"/>
      </w:r>
    </w:p>
    <w:p w14:paraId="04A761F0" w14:textId="72D638ED" w:rsidR="004F32D3" w:rsidRPr="004F32D3" w:rsidRDefault="00187B41" w:rsidP="004F32D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things considered, the </w:t>
      </w:r>
      <w:r w:rsidR="00EB5F3F">
        <w:rPr>
          <w:rFonts w:ascii="Times New Roman" w:hAnsi="Times New Roman" w:cs="Times New Roman"/>
          <w:sz w:val="24"/>
          <w:szCs w:val="24"/>
          <w:lang w:val="en-GB"/>
        </w:rPr>
        <w:t>outcome of the approach adopted</w:t>
      </w:r>
      <w:r>
        <w:rPr>
          <w:rFonts w:ascii="Times New Roman" w:hAnsi="Times New Roman" w:cs="Times New Roman"/>
          <w:sz w:val="24"/>
          <w:szCs w:val="24"/>
          <w:lang w:val="en-GB"/>
        </w:rPr>
        <w:t xml:space="preserve"> by the ECJ might not differ all that much from the one taken by Advocate General Sharpston. By limiting an infringement of the right to a tribunal established by law to those irregularities that give rise to reasonable doubts about the independence and impartiality of the judge(s) concerned, the Court</w:t>
      </w:r>
      <w:r w:rsidR="00CB3BAD">
        <w:rPr>
          <w:rFonts w:ascii="Times New Roman" w:hAnsi="Times New Roman" w:cs="Times New Roman"/>
          <w:sz w:val="24"/>
          <w:szCs w:val="24"/>
          <w:lang w:val="en-GB"/>
        </w:rPr>
        <w:t xml:space="preserve"> strikes</w:t>
      </w:r>
      <w:r w:rsidR="00992F69">
        <w:rPr>
          <w:rFonts w:ascii="Times New Roman" w:hAnsi="Times New Roman" w:cs="Times New Roman"/>
          <w:sz w:val="24"/>
          <w:szCs w:val="24"/>
          <w:lang w:val="en-GB"/>
        </w:rPr>
        <w:t xml:space="preserve"> a balance between the right to a tribunal established by law and the principle of legal certainty. </w:t>
      </w:r>
      <w:r w:rsidR="00FF203A">
        <w:rPr>
          <w:rFonts w:ascii="Times New Roman" w:hAnsi="Times New Roman" w:cs="Times New Roman"/>
          <w:sz w:val="24"/>
          <w:szCs w:val="24"/>
          <w:lang w:val="en-GB"/>
        </w:rPr>
        <w:t>Only</w:t>
      </w:r>
      <w:r w:rsidR="00992F69">
        <w:rPr>
          <w:rFonts w:ascii="Times New Roman" w:hAnsi="Times New Roman" w:cs="Times New Roman"/>
          <w:sz w:val="24"/>
          <w:szCs w:val="24"/>
          <w:lang w:val="en-GB"/>
        </w:rPr>
        <w:t>, rather than requiring the courts to perform this balancing exercise between those two principles themselves, the EC</w:t>
      </w:r>
      <w:r w:rsidR="003A013C">
        <w:rPr>
          <w:rFonts w:ascii="Times New Roman" w:hAnsi="Times New Roman" w:cs="Times New Roman"/>
          <w:sz w:val="24"/>
          <w:szCs w:val="24"/>
          <w:lang w:val="en-GB"/>
        </w:rPr>
        <w:t xml:space="preserve">J has imposed a fixed threshold. The advantage of reasonable doubt as a threshold is that it is flexible and allows the court in question to take </w:t>
      </w:r>
      <w:r w:rsidR="00D77565">
        <w:rPr>
          <w:rFonts w:ascii="Times New Roman" w:hAnsi="Times New Roman" w:cs="Times New Roman"/>
          <w:sz w:val="24"/>
          <w:szCs w:val="24"/>
          <w:lang w:val="en-GB"/>
        </w:rPr>
        <w:t>every relevant factor into consideration. The downside</w:t>
      </w:r>
      <w:r w:rsidR="0084492E">
        <w:rPr>
          <w:rFonts w:ascii="Times New Roman" w:hAnsi="Times New Roman" w:cs="Times New Roman"/>
          <w:sz w:val="24"/>
          <w:szCs w:val="24"/>
          <w:lang w:val="en-GB"/>
        </w:rPr>
        <w:t>, however,</w:t>
      </w:r>
      <w:r w:rsidR="00D77565">
        <w:rPr>
          <w:rFonts w:ascii="Times New Roman" w:hAnsi="Times New Roman" w:cs="Times New Roman"/>
          <w:sz w:val="24"/>
          <w:szCs w:val="24"/>
          <w:lang w:val="en-GB"/>
        </w:rPr>
        <w:t xml:space="preserve"> is that it is a notion of unclear scope and therefore difficult to operationalize.</w:t>
      </w:r>
      <w:r w:rsidR="00D77565">
        <w:rPr>
          <w:rStyle w:val="Voetnootmarkering"/>
          <w:rFonts w:ascii="Times New Roman" w:hAnsi="Times New Roman" w:cs="Times New Roman"/>
          <w:sz w:val="24"/>
          <w:szCs w:val="24"/>
          <w:lang w:val="en-GB"/>
        </w:rPr>
        <w:footnoteReference w:id="56"/>
      </w:r>
      <w:r w:rsidR="00D77565">
        <w:rPr>
          <w:rFonts w:ascii="Times New Roman" w:hAnsi="Times New Roman" w:cs="Times New Roman"/>
          <w:sz w:val="24"/>
          <w:szCs w:val="24"/>
          <w:lang w:val="en-GB"/>
        </w:rPr>
        <w:t xml:space="preserve"> </w:t>
      </w:r>
    </w:p>
    <w:p w14:paraId="6A67E41C" w14:textId="18C3E049" w:rsidR="00C91B5E" w:rsidRDefault="00067FE7" w:rsidP="00C91B5E">
      <w:pPr>
        <w:pStyle w:val="Lijstalinea"/>
        <w:numPr>
          <w:ilvl w:val="1"/>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A judgment of c</w:t>
      </w:r>
      <w:r w:rsidR="00C91B5E">
        <w:rPr>
          <w:rFonts w:ascii="Times New Roman" w:hAnsi="Times New Roman" w:cs="Times New Roman"/>
          <w:sz w:val="24"/>
          <w:szCs w:val="24"/>
          <w:lang w:val="en-GB"/>
        </w:rPr>
        <w:t>onstitutional importance for the Member States</w:t>
      </w:r>
    </w:p>
    <w:p w14:paraId="403EF229" w14:textId="19E9B160" w:rsidR="00067FE7" w:rsidRDefault="00861344"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judgment in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w:t>
      </w:r>
      <w:r>
        <w:rPr>
          <w:rFonts w:ascii="Times New Roman" w:hAnsi="Times New Roman" w:cs="Times New Roman"/>
          <w:sz w:val="24"/>
          <w:szCs w:val="24"/>
          <w:lang w:val="en-GB"/>
        </w:rPr>
        <w:t xml:space="preserve"> has </w:t>
      </w:r>
      <w:r w:rsidR="00260B86">
        <w:rPr>
          <w:rFonts w:ascii="Times New Roman" w:hAnsi="Times New Roman" w:cs="Times New Roman"/>
          <w:sz w:val="24"/>
          <w:szCs w:val="24"/>
          <w:lang w:val="en-GB"/>
        </w:rPr>
        <w:t>significant</w:t>
      </w:r>
      <w:r>
        <w:rPr>
          <w:rFonts w:ascii="Times New Roman" w:hAnsi="Times New Roman" w:cs="Times New Roman"/>
          <w:sz w:val="24"/>
          <w:szCs w:val="24"/>
          <w:lang w:val="en-GB"/>
        </w:rPr>
        <w:t xml:space="preserve"> consequences for the European Union.</w:t>
      </w:r>
      <w:r w:rsidR="00260B86">
        <w:rPr>
          <w:rFonts w:ascii="Times New Roman" w:hAnsi="Times New Roman" w:cs="Times New Roman"/>
          <w:sz w:val="24"/>
          <w:szCs w:val="24"/>
          <w:lang w:val="en-GB"/>
        </w:rPr>
        <w:t xml:space="preserve"> The ECJ made clear that Union Courts can verify the regularity of appointment </w:t>
      </w:r>
      <w:r w:rsidR="008116BA">
        <w:rPr>
          <w:rFonts w:ascii="Times New Roman" w:hAnsi="Times New Roman" w:cs="Times New Roman"/>
          <w:sz w:val="24"/>
          <w:szCs w:val="24"/>
          <w:lang w:val="en-GB"/>
        </w:rPr>
        <w:t>proceedings</w:t>
      </w:r>
      <w:r w:rsidR="00260B86">
        <w:rPr>
          <w:rFonts w:ascii="Times New Roman" w:hAnsi="Times New Roman" w:cs="Times New Roman"/>
          <w:sz w:val="24"/>
          <w:szCs w:val="24"/>
          <w:lang w:val="en-GB"/>
        </w:rPr>
        <w:t xml:space="preserve"> to ensure that they constitute a tribunal established by law and must even do so of their own </w:t>
      </w:r>
      <w:r w:rsidR="00C563AD">
        <w:rPr>
          <w:rFonts w:ascii="Times New Roman" w:hAnsi="Times New Roman" w:cs="Times New Roman"/>
          <w:sz w:val="24"/>
          <w:szCs w:val="24"/>
          <w:lang w:val="en-GB"/>
        </w:rPr>
        <w:t>motion when a serious doubt arises</w:t>
      </w:r>
      <w:r w:rsidR="00260B86">
        <w:rPr>
          <w:rFonts w:ascii="Times New Roman" w:hAnsi="Times New Roman" w:cs="Times New Roman"/>
          <w:sz w:val="24"/>
          <w:szCs w:val="24"/>
          <w:lang w:val="en-GB"/>
        </w:rPr>
        <w:t xml:space="preserve"> on that point. In doing so it empowered the Union Courts vis-à-vis the Council, thereby altering the balance of power within the Union. Nonetheless, it would appear that the </w:t>
      </w:r>
      <w:r w:rsidR="00067FE7">
        <w:rPr>
          <w:rFonts w:ascii="Times New Roman" w:hAnsi="Times New Roman" w:cs="Times New Roman"/>
          <w:sz w:val="24"/>
          <w:szCs w:val="24"/>
          <w:lang w:val="en-GB"/>
        </w:rPr>
        <w:t xml:space="preserve">judgment </w:t>
      </w:r>
      <w:r w:rsidR="00E160BE">
        <w:rPr>
          <w:rFonts w:ascii="Times New Roman" w:hAnsi="Times New Roman" w:cs="Times New Roman"/>
          <w:sz w:val="24"/>
          <w:szCs w:val="24"/>
          <w:lang w:val="en-GB"/>
        </w:rPr>
        <w:t>is</w:t>
      </w:r>
      <w:r w:rsidR="00067FE7">
        <w:rPr>
          <w:rFonts w:ascii="Times New Roman" w:hAnsi="Times New Roman" w:cs="Times New Roman"/>
          <w:sz w:val="24"/>
          <w:szCs w:val="24"/>
          <w:lang w:val="en-GB"/>
        </w:rPr>
        <w:t xml:space="preserve"> of even more significance for the Member States themselves, as the principles set out in it can apply </w:t>
      </w:r>
      <w:r w:rsidR="00CB3BAD">
        <w:rPr>
          <w:rFonts w:ascii="Times New Roman" w:hAnsi="Times New Roman" w:cs="Times New Roman"/>
          <w:sz w:val="24"/>
          <w:szCs w:val="24"/>
          <w:lang w:val="en-GB"/>
        </w:rPr>
        <w:t xml:space="preserve">just as well </w:t>
      </w:r>
      <w:r w:rsidR="00067FE7">
        <w:rPr>
          <w:rFonts w:ascii="Times New Roman" w:hAnsi="Times New Roman" w:cs="Times New Roman"/>
          <w:sz w:val="24"/>
          <w:szCs w:val="24"/>
          <w:lang w:val="en-GB"/>
        </w:rPr>
        <w:t xml:space="preserve">to domestic courts. This section will examine the constitutional importance of the judgment in </w:t>
      </w:r>
      <w:r w:rsidR="00E324B4">
        <w:rPr>
          <w:rFonts w:ascii="Times New Roman" w:hAnsi="Times New Roman" w:cs="Times New Roman"/>
          <w:i/>
          <w:sz w:val="24"/>
          <w:szCs w:val="24"/>
          <w:lang w:val="en-GB"/>
        </w:rPr>
        <w:t>Review</w:t>
      </w:r>
      <w:r w:rsidR="00067FE7">
        <w:rPr>
          <w:rFonts w:ascii="Times New Roman" w:hAnsi="Times New Roman" w:cs="Times New Roman"/>
          <w:i/>
          <w:sz w:val="24"/>
          <w:szCs w:val="24"/>
          <w:lang w:val="en-GB"/>
        </w:rPr>
        <w:t xml:space="preserve"> Simpson</w:t>
      </w:r>
      <w:r w:rsidR="00067FE7">
        <w:rPr>
          <w:rFonts w:ascii="Times New Roman" w:hAnsi="Times New Roman" w:cs="Times New Roman"/>
          <w:sz w:val="24"/>
          <w:szCs w:val="24"/>
          <w:lang w:val="en-GB"/>
        </w:rPr>
        <w:t xml:space="preserve"> for the </w:t>
      </w:r>
      <w:r w:rsidR="00234CAE">
        <w:rPr>
          <w:rFonts w:ascii="Times New Roman" w:hAnsi="Times New Roman" w:cs="Times New Roman"/>
          <w:sz w:val="24"/>
          <w:szCs w:val="24"/>
          <w:lang w:val="en-GB"/>
        </w:rPr>
        <w:t>EU</w:t>
      </w:r>
      <w:r w:rsidR="00937957">
        <w:rPr>
          <w:rFonts w:ascii="Times New Roman" w:hAnsi="Times New Roman" w:cs="Times New Roman"/>
          <w:sz w:val="24"/>
          <w:szCs w:val="24"/>
          <w:lang w:val="en-GB"/>
        </w:rPr>
        <w:t xml:space="preserve"> </w:t>
      </w:r>
      <w:r w:rsidR="00067FE7">
        <w:rPr>
          <w:rFonts w:ascii="Times New Roman" w:hAnsi="Times New Roman" w:cs="Times New Roman"/>
          <w:sz w:val="24"/>
          <w:szCs w:val="24"/>
          <w:lang w:val="en-GB"/>
        </w:rPr>
        <w:t xml:space="preserve">Member States. It will do so in two steps. First, </w:t>
      </w:r>
      <w:r w:rsidR="00D93C56">
        <w:rPr>
          <w:rFonts w:ascii="Times New Roman" w:hAnsi="Times New Roman" w:cs="Times New Roman"/>
          <w:sz w:val="24"/>
          <w:szCs w:val="24"/>
          <w:lang w:val="en-GB"/>
        </w:rPr>
        <w:t xml:space="preserve">it will address the question </w:t>
      </w:r>
      <w:r w:rsidR="00067FE7">
        <w:rPr>
          <w:rFonts w:ascii="Times New Roman" w:hAnsi="Times New Roman" w:cs="Times New Roman"/>
          <w:sz w:val="24"/>
          <w:szCs w:val="24"/>
          <w:lang w:val="en-GB"/>
        </w:rPr>
        <w:t xml:space="preserve">to what extent the principles of the judgment </w:t>
      </w:r>
      <w:r w:rsidR="00D93C56">
        <w:rPr>
          <w:rFonts w:ascii="Times New Roman" w:hAnsi="Times New Roman" w:cs="Times New Roman"/>
          <w:sz w:val="24"/>
          <w:szCs w:val="24"/>
          <w:lang w:val="en-GB"/>
        </w:rPr>
        <w:t xml:space="preserve">can </w:t>
      </w:r>
      <w:r w:rsidR="00067FE7">
        <w:rPr>
          <w:rFonts w:ascii="Times New Roman" w:hAnsi="Times New Roman" w:cs="Times New Roman"/>
          <w:sz w:val="24"/>
          <w:szCs w:val="24"/>
          <w:lang w:val="en-GB"/>
        </w:rPr>
        <w:t>be applied to domestic judiciaries, and second,</w:t>
      </w:r>
      <w:r w:rsidR="00D93C56">
        <w:rPr>
          <w:rFonts w:ascii="Times New Roman" w:hAnsi="Times New Roman" w:cs="Times New Roman"/>
          <w:sz w:val="24"/>
          <w:szCs w:val="24"/>
          <w:lang w:val="en-GB"/>
        </w:rPr>
        <w:t xml:space="preserve"> it assesses</w:t>
      </w:r>
      <w:r w:rsidR="00067FE7">
        <w:rPr>
          <w:rFonts w:ascii="Times New Roman" w:hAnsi="Times New Roman" w:cs="Times New Roman"/>
          <w:sz w:val="24"/>
          <w:szCs w:val="24"/>
          <w:lang w:val="en-GB"/>
        </w:rPr>
        <w:t xml:space="preserve"> what consequences this</w:t>
      </w:r>
      <w:r w:rsidR="00D93C56">
        <w:rPr>
          <w:rFonts w:ascii="Times New Roman" w:hAnsi="Times New Roman" w:cs="Times New Roman"/>
          <w:sz w:val="24"/>
          <w:szCs w:val="24"/>
          <w:lang w:val="en-GB"/>
        </w:rPr>
        <w:t xml:space="preserve"> would entail.</w:t>
      </w:r>
    </w:p>
    <w:p w14:paraId="71F94B6D" w14:textId="2012047A" w:rsidR="00D93C56" w:rsidRDefault="002847E1"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reiterate, </w:t>
      </w:r>
      <w:r w:rsidR="00385524">
        <w:rPr>
          <w:rFonts w:ascii="Times New Roman" w:hAnsi="Times New Roman" w:cs="Times New Roman"/>
          <w:sz w:val="24"/>
          <w:szCs w:val="24"/>
          <w:lang w:val="en-GB"/>
        </w:rPr>
        <w:t xml:space="preserve">the </w:t>
      </w:r>
      <w:r w:rsidR="00E324B4">
        <w:rPr>
          <w:rFonts w:ascii="Times New Roman" w:hAnsi="Times New Roman" w:cs="Times New Roman"/>
          <w:i/>
          <w:sz w:val="24"/>
          <w:szCs w:val="24"/>
          <w:lang w:val="en-GB"/>
        </w:rPr>
        <w:t>Review</w:t>
      </w:r>
      <w:r w:rsidR="00385524">
        <w:rPr>
          <w:rFonts w:ascii="Times New Roman" w:hAnsi="Times New Roman" w:cs="Times New Roman"/>
          <w:i/>
          <w:sz w:val="24"/>
          <w:szCs w:val="24"/>
          <w:lang w:val="en-GB"/>
        </w:rPr>
        <w:t xml:space="preserve"> Simpson </w:t>
      </w:r>
      <w:r w:rsidR="00385524">
        <w:rPr>
          <w:rFonts w:ascii="Times New Roman" w:hAnsi="Times New Roman" w:cs="Times New Roman"/>
          <w:sz w:val="24"/>
          <w:szCs w:val="24"/>
          <w:lang w:val="en-GB"/>
        </w:rPr>
        <w:t>judgment is grounded completely on Article 47 of the Charter. The two cases that eventually gave rise to the review procee</w:t>
      </w:r>
      <w:r w:rsidR="007A4C55">
        <w:rPr>
          <w:rFonts w:ascii="Times New Roman" w:hAnsi="Times New Roman" w:cs="Times New Roman"/>
          <w:sz w:val="24"/>
          <w:szCs w:val="24"/>
          <w:lang w:val="en-GB"/>
        </w:rPr>
        <w:t>dings before the ECJ</w:t>
      </w:r>
      <w:r w:rsidR="00385524">
        <w:rPr>
          <w:rFonts w:ascii="Times New Roman" w:hAnsi="Times New Roman" w:cs="Times New Roman"/>
          <w:sz w:val="24"/>
          <w:szCs w:val="24"/>
          <w:lang w:val="en-GB"/>
        </w:rPr>
        <w:t xml:space="preserve"> concerned disputes between two individuals</w:t>
      </w:r>
      <w:r w:rsidR="007A4C55">
        <w:rPr>
          <w:rFonts w:ascii="Times New Roman" w:hAnsi="Times New Roman" w:cs="Times New Roman"/>
          <w:sz w:val="24"/>
          <w:szCs w:val="24"/>
          <w:lang w:val="en-GB"/>
        </w:rPr>
        <w:t xml:space="preserve"> </w:t>
      </w:r>
      <w:r w:rsidR="00385524">
        <w:rPr>
          <w:rFonts w:ascii="Times New Roman" w:hAnsi="Times New Roman" w:cs="Times New Roman"/>
          <w:sz w:val="24"/>
          <w:szCs w:val="24"/>
          <w:lang w:val="en-GB"/>
        </w:rPr>
        <w:t xml:space="preserve">and the Commission </w:t>
      </w:r>
      <w:r w:rsidR="00234CAE">
        <w:rPr>
          <w:rFonts w:ascii="Times New Roman" w:hAnsi="Times New Roman" w:cs="Times New Roman"/>
          <w:sz w:val="24"/>
          <w:szCs w:val="24"/>
          <w:lang w:val="en-GB"/>
        </w:rPr>
        <w:t xml:space="preserve">and the Council respectively, that were submitted to </w:t>
      </w:r>
      <w:r w:rsidR="00385524">
        <w:rPr>
          <w:rFonts w:ascii="Times New Roman" w:hAnsi="Times New Roman" w:cs="Times New Roman"/>
          <w:sz w:val="24"/>
          <w:szCs w:val="24"/>
          <w:lang w:val="en-GB"/>
        </w:rPr>
        <w:t>the CST. In such circumstances, Article 47 of the Charter clearly applies.</w:t>
      </w:r>
      <w:r w:rsidR="003E522B">
        <w:rPr>
          <w:rStyle w:val="Voetnootmarkering"/>
          <w:rFonts w:ascii="Times New Roman" w:hAnsi="Times New Roman" w:cs="Times New Roman"/>
          <w:sz w:val="24"/>
          <w:szCs w:val="24"/>
          <w:lang w:val="en-GB"/>
        </w:rPr>
        <w:footnoteReference w:id="57"/>
      </w:r>
      <w:r w:rsidR="00385524">
        <w:rPr>
          <w:rFonts w:ascii="Times New Roman" w:hAnsi="Times New Roman" w:cs="Times New Roman"/>
          <w:sz w:val="24"/>
          <w:szCs w:val="24"/>
          <w:lang w:val="en-GB"/>
        </w:rPr>
        <w:t xml:space="preserve"> </w:t>
      </w:r>
      <w:r w:rsidR="00E160BE">
        <w:rPr>
          <w:rFonts w:ascii="Times New Roman" w:hAnsi="Times New Roman" w:cs="Times New Roman"/>
          <w:sz w:val="24"/>
          <w:szCs w:val="24"/>
          <w:lang w:val="en-GB"/>
        </w:rPr>
        <w:t>Yet</w:t>
      </w:r>
      <w:r w:rsidR="003E522B">
        <w:rPr>
          <w:rFonts w:ascii="Times New Roman" w:hAnsi="Times New Roman" w:cs="Times New Roman"/>
          <w:sz w:val="24"/>
          <w:szCs w:val="24"/>
          <w:lang w:val="en-GB"/>
        </w:rPr>
        <w:t>, Article 47 of the Charter is also applicable to domestic courts and tribunals when they rule on the rights and freedoms guaranteed by EU law. As soon as there is a sufficient link with EU law for the Charter to apply, in accordance with the case law on Article 51</w:t>
      </w:r>
      <w:r w:rsidR="00CB3BAD">
        <w:rPr>
          <w:rFonts w:ascii="Times New Roman" w:hAnsi="Times New Roman" w:cs="Times New Roman"/>
          <w:sz w:val="24"/>
          <w:szCs w:val="24"/>
          <w:lang w:val="en-GB"/>
        </w:rPr>
        <w:t>(1)</w:t>
      </w:r>
      <w:r w:rsidR="003E522B">
        <w:rPr>
          <w:rFonts w:ascii="Times New Roman" w:hAnsi="Times New Roman" w:cs="Times New Roman"/>
          <w:sz w:val="24"/>
          <w:szCs w:val="24"/>
          <w:lang w:val="en-GB"/>
        </w:rPr>
        <w:t xml:space="preserve"> of the Charter,</w:t>
      </w:r>
      <w:r w:rsidR="00623E9E">
        <w:rPr>
          <w:rStyle w:val="Voetnootmarkering"/>
          <w:rFonts w:ascii="Times New Roman" w:hAnsi="Times New Roman" w:cs="Times New Roman"/>
          <w:sz w:val="24"/>
          <w:szCs w:val="24"/>
          <w:lang w:val="en-GB"/>
        </w:rPr>
        <w:footnoteReference w:id="58"/>
      </w:r>
      <w:r w:rsidR="003E522B">
        <w:rPr>
          <w:rFonts w:ascii="Times New Roman" w:hAnsi="Times New Roman" w:cs="Times New Roman"/>
          <w:sz w:val="24"/>
          <w:szCs w:val="24"/>
          <w:lang w:val="en-GB"/>
        </w:rPr>
        <w:t xml:space="preserve"> then the guarantees under Article 47 of the Charter also have to be ensured.</w:t>
      </w:r>
      <w:r w:rsidR="003E522B">
        <w:rPr>
          <w:rStyle w:val="Voetnootmarkering"/>
          <w:rFonts w:ascii="Times New Roman" w:hAnsi="Times New Roman" w:cs="Times New Roman"/>
          <w:sz w:val="24"/>
          <w:szCs w:val="24"/>
          <w:lang w:val="en-GB"/>
        </w:rPr>
        <w:footnoteReference w:id="59"/>
      </w:r>
      <w:r w:rsidR="002C53DC">
        <w:rPr>
          <w:rFonts w:ascii="Times New Roman" w:hAnsi="Times New Roman" w:cs="Times New Roman"/>
          <w:sz w:val="24"/>
          <w:szCs w:val="24"/>
          <w:lang w:val="en-GB"/>
        </w:rPr>
        <w:t xml:space="preserve"> In such cases, the </w:t>
      </w:r>
      <w:r w:rsidR="002C53DC">
        <w:rPr>
          <w:rFonts w:ascii="Times New Roman" w:hAnsi="Times New Roman" w:cs="Times New Roman"/>
          <w:sz w:val="24"/>
          <w:szCs w:val="24"/>
          <w:lang w:val="en-GB"/>
        </w:rPr>
        <w:lastRenderedPageBreak/>
        <w:t>right to a tribunal established by law, as interpreted by the ECJ</w:t>
      </w:r>
      <w:r w:rsidR="00E160BE">
        <w:rPr>
          <w:rFonts w:ascii="Times New Roman" w:hAnsi="Times New Roman" w:cs="Times New Roman"/>
          <w:sz w:val="24"/>
          <w:szCs w:val="24"/>
          <w:lang w:val="en-GB"/>
        </w:rPr>
        <w:t>, will apply</w:t>
      </w:r>
      <w:r w:rsidR="002C53DC">
        <w:rPr>
          <w:rFonts w:ascii="Times New Roman" w:hAnsi="Times New Roman" w:cs="Times New Roman"/>
          <w:sz w:val="24"/>
          <w:szCs w:val="24"/>
          <w:lang w:val="en-GB"/>
        </w:rPr>
        <w:t xml:space="preserve"> and the domestic tribunal in question will have to verify the regularity of its composition, if need be of its own motion.</w:t>
      </w:r>
    </w:p>
    <w:p w14:paraId="69B0D498" w14:textId="61BD4CAA" w:rsidR="002C53DC" w:rsidRDefault="002C53DC"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is of course only the case in disputes that concern </w:t>
      </w:r>
      <w:r w:rsidR="00234CAE">
        <w:rPr>
          <w:rFonts w:ascii="Times New Roman" w:hAnsi="Times New Roman" w:cs="Times New Roman"/>
          <w:sz w:val="24"/>
          <w:szCs w:val="24"/>
          <w:lang w:val="en-GB"/>
        </w:rPr>
        <w:t xml:space="preserve">the rights and freedoms guaranteed by </w:t>
      </w:r>
      <w:r>
        <w:rPr>
          <w:rFonts w:ascii="Times New Roman" w:hAnsi="Times New Roman" w:cs="Times New Roman"/>
          <w:sz w:val="24"/>
          <w:szCs w:val="24"/>
          <w:lang w:val="en-GB"/>
        </w:rPr>
        <w:t>EU law</w:t>
      </w:r>
      <w:r w:rsidR="009E56E9">
        <w:rPr>
          <w:rFonts w:ascii="Times New Roman" w:hAnsi="Times New Roman" w:cs="Times New Roman"/>
          <w:sz w:val="24"/>
          <w:szCs w:val="24"/>
          <w:lang w:val="en-GB"/>
        </w:rPr>
        <w:t xml:space="preserve"> and trigger the application of the Charter</w:t>
      </w:r>
      <w:r>
        <w:rPr>
          <w:rFonts w:ascii="Times New Roman" w:hAnsi="Times New Roman" w:cs="Times New Roman"/>
          <w:sz w:val="24"/>
          <w:szCs w:val="24"/>
          <w:lang w:val="en-GB"/>
        </w:rPr>
        <w:t>. One could, however, ask the question whether the requirement of a tribunal established by law can als</w:t>
      </w:r>
      <w:r w:rsidR="00B03E7C">
        <w:rPr>
          <w:rFonts w:ascii="Times New Roman" w:hAnsi="Times New Roman" w:cs="Times New Roman"/>
          <w:sz w:val="24"/>
          <w:szCs w:val="24"/>
          <w:lang w:val="en-GB"/>
        </w:rPr>
        <w:t xml:space="preserve">o apply outside of such circumstances. The answer to this question, I argue, is positive. The crucial provision in this regard </w:t>
      </w:r>
      <w:r w:rsidR="00BE47F8">
        <w:rPr>
          <w:rFonts w:ascii="Times New Roman" w:hAnsi="Times New Roman" w:cs="Times New Roman"/>
          <w:sz w:val="24"/>
          <w:szCs w:val="24"/>
          <w:lang w:val="en-GB"/>
        </w:rPr>
        <w:t>is</w:t>
      </w:r>
      <w:r w:rsidR="00B03E7C">
        <w:rPr>
          <w:rFonts w:ascii="Times New Roman" w:hAnsi="Times New Roman" w:cs="Times New Roman"/>
          <w:sz w:val="24"/>
          <w:szCs w:val="24"/>
          <w:lang w:val="en-GB"/>
        </w:rPr>
        <w:t xml:space="preserve"> the second subparagraph of Article 19(1) TEU, according to which </w:t>
      </w:r>
      <w:r w:rsidR="00B03E7C" w:rsidRPr="00B03E7C">
        <w:rPr>
          <w:rFonts w:ascii="Times New Roman" w:hAnsi="Times New Roman" w:cs="Times New Roman"/>
          <w:sz w:val="24"/>
          <w:szCs w:val="24"/>
          <w:lang w:val="en-GB"/>
        </w:rPr>
        <w:t>Member States shall provide remedies sufficient to ensure effective legal protection in the fields covered by Union law</w:t>
      </w:r>
      <w:r w:rsidR="00B03E7C">
        <w:rPr>
          <w:rFonts w:ascii="Times New Roman" w:hAnsi="Times New Roman" w:cs="Times New Roman"/>
          <w:sz w:val="24"/>
          <w:szCs w:val="24"/>
          <w:lang w:val="en-GB"/>
        </w:rPr>
        <w:t xml:space="preserve">. Since the ECJ’s judgment in </w:t>
      </w:r>
      <w:proofErr w:type="spellStart"/>
      <w:r w:rsidR="00B03E7C" w:rsidRPr="00B03E7C">
        <w:rPr>
          <w:rFonts w:ascii="Times New Roman" w:hAnsi="Times New Roman" w:cs="Times New Roman"/>
          <w:i/>
          <w:sz w:val="24"/>
          <w:szCs w:val="24"/>
          <w:lang w:val="en-GB"/>
        </w:rPr>
        <w:t>Associação</w:t>
      </w:r>
      <w:proofErr w:type="spellEnd"/>
      <w:r w:rsidR="00B03E7C" w:rsidRPr="00B03E7C">
        <w:rPr>
          <w:rFonts w:ascii="Times New Roman" w:hAnsi="Times New Roman" w:cs="Times New Roman"/>
          <w:i/>
          <w:sz w:val="24"/>
          <w:szCs w:val="24"/>
          <w:lang w:val="en-GB"/>
        </w:rPr>
        <w:t xml:space="preserve"> </w:t>
      </w:r>
      <w:proofErr w:type="spellStart"/>
      <w:r w:rsidR="00B03E7C" w:rsidRPr="00B03E7C">
        <w:rPr>
          <w:rFonts w:ascii="Times New Roman" w:hAnsi="Times New Roman" w:cs="Times New Roman"/>
          <w:i/>
          <w:sz w:val="24"/>
          <w:szCs w:val="24"/>
          <w:lang w:val="en-GB"/>
        </w:rPr>
        <w:t>Sindical</w:t>
      </w:r>
      <w:proofErr w:type="spellEnd"/>
      <w:r w:rsidR="00B03E7C" w:rsidRPr="00B03E7C">
        <w:rPr>
          <w:rFonts w:ascii="Times New Roman" w:hAnsi="Times New Roman" w:cs="Times New Roman"/>
          <w:i/>
          <w:sz w:val="24"/>
          <w:szCs w:val="24"/>
          <w:lang w:val="en-GB"/>
        </w:rPr>
        <w:t xml:space="preserve"> dos </w:t>
      </w:r>
      <w:proofErr w:type="spellStart"/>
      <w:r w:rsidR="00B03E7C" w:rsidRPr="00B03E7C">
        <w:rPr>
          <w:rFonts w:ascii="Times New Roman" w:hAnsi="Times New Roman" w:cs="Times New Roman"/>
          <w:i/>
          <w:sz w:val="24"/>
          <w:szCs w:val="24"/>
          <w:lang w:val="en-GB"/>
        </w:rPr>
        <w:t>Juízes</w:t>
      </w:r>
      <w:proofErr w:type="spellEnd"/>
      <w:r w:rsidR="00B03E7C" w:rsidRPr="00B03E7C">
        <w:rPr>
          <w:rFonts w:ascii="Times New Roman" w:hAnsi="Times New Roman" w:cs="Times New Roman"/>
          <w:i/>
          <w:sz w:val="24"/>
          <w:szCs w:val="24"/>
          <w:lang w:val="en-GB"/>
        </w:rPr>
        <w:t xml:space="preserve"> </w:t>
      </w:r>
      <w:proofErr w:type="spellStart"/>
      <w:r w:rsidR="00B03E7C" w:rsidRPr="00B03E7C">
        <w:rPr>
          <w:rFonts w:ascii="Times New Roman" w:hAnsi="Times New Roman" w:cs="Times New Roman"/>
          <w:i/>
          <w:sz w:val="24"/>
          <w:szCs w:val="24"/>
          <w:lang w:val="en-GB"/>
        </w:rPr>
        <w:t>Portugueses</w:t>
      </w:r>
      <w:proofErr w:type="spellEnd"/>
      <w:r w:rsidR="003156BE">
        <w:rPr>
          <w:rFonts w:ascii="Times New Roman" w:hAnsi="Times New Roman" w:cs="Times New Roman"/>
          <w:i/>
          <w:sz w:val="24"/>
          <w:szCs w:val="24"/>
          <w:lang w:val="en-GB"/>
        </w:rPr>
        <w:t xml:space="preserve"> </w:t>
      </w:r>
      <w:r w:rsidR="003156BE">
        <w:rPr>
          <w:rFonts w:ascii="Times New Roman" w:hAnsi="Times New Roman" w:cs="Times New Roman"/>
          <w:sz w:val="24"/>
          <w:szCs w:val="24"/>
          <w:lang w:val="en-GB"/>
        </w:rPr>
        <w:t>(</w:t>
      </w:r>
      <w:r w:rsidR="00E160BE">
        <w:rPr>
          <w:rFonts w:ascii="Times New Roman" w:hAnsi="Times New Roman" w:cs="Times New Roman"/>
          <w:sz w:val="24"/>
          <w:szCs w:val="24"/>
          <w:lang w:val="en-GB"/>
        </w:rPr>
        <w:t xml:space="preserve">hereafter: </w:t>
      </w:r>
      <w:r w:rsidR="003156BE">
        <w:rPr>
          <w:rFonts w:ascii="Times New Roman" w:hAnsi="Times New Roman" w:cs="Times New Roman"/>
          <w:sz w:val="24"/>
          <w:szCs w:val="24"/>
          <w:lang w:val="en-GB"/>
        </w:rPr>
        <w:t>ASJP)</w:t>
      </w:r>
      <w:r w:rsidR="00B03E7C">
        <w:rPr>
          <w:rFonts w:ascii="Times New Roman" w:hAnsi="Times New Roman" w:cs="Times New Roman"/>
          <w:sz w:val="24"/>
          <w:szCs w:val="24"/>
          <w:lang w:val="en-GB"/>
        </w:rPr>
        <w:t>,</w:t>
      </w:r>
      <w:r w:rsidR="00B03E7C">
        <w:rPr>
          <w:rStyle w:val="Voetnootmarkering"/>
          <w:rFonts w:ascii="Times New Roman" w:hAnsi="Times New Roman" w:cs="Times New Roman"/>
          <w:sz w:val="24"/>
          <w:szCs w:val="24"/>
          <w:lang w:val="en-GB"/>
        </w:rPr>
        <w:footnoteReference w:id="60"/>
      </w:r>
      <w:r w:rsidR="00B03E7C">
        <w:rPr>
          <w:rFonts w:ascii="Times New Roman" w:hAnsi="Times New Roman" w:cs="Times New Roman"/>
          <w:sz w:val="24"/>
          <w:szCs w:val="24"/>
          <w:lang w:val="en-GB"/>
        </w:rPr>
        <w:t xml:space="preserve"> this provision has received an enormous</w:t>
      </w:r>
      <w:r w:rsidR="009A6D43">
        <w:rPr>
          <w:rFonts w:ascii="Times New Roman" w:hAnsi="Times New Roman" w:cs="Times New Roman"/>
          <w:sz w:val="24"/>
          <w:szCs w:val="24"/>
          <w:lang w:val="en-GB"/>
        </w:rPr>
        <w:t xml:space="preserve"> amount of scholarl</w:t>
      </w:r>
      <w:r w:rsidR="00E37DF9">
        <w:rPr>
          <w:rFonts w:ascii="Times New Roman" w:hAnsi="Times New Roman" w:cs="Times New Roman"/>
          <w:sz w:val="24"/>
          <w:szCs w:val="24"/>
          <w:lang w:val="en-GB"/>
        </w:rPr>
        <w:t>y attention</w:t>
      </w:r>
      <w:r w:rsidR="009A6D43">
        <w:rPr>
          <w:rFonts w:ascii="Times New Roman" w:hAnsi="Times New Roman" w:cs="Times New Roman"/>
          <w:sz w:val="24"/>
          <w:szCs w:val="24"/>
          <w:lang w:val="en-GB"/>
        </w:rPr>
        <w:t>.</w:t>
      </w:r>
      <w:r w:rsidR="00E37DF9">
        <w:rPr>
          <w:rStyle w:val="Voetnootmarkering"/>
          <w:rFonts w:ascii="Times New Roman" w:hAnsi="Times New Roman" w:cs="Times New Roman"/>
          <w:sz w:val="24"/>
          <w:szCs w:val="24"/>
          <w:lang w:val="en-GB"/>
        </w:rPr>
        <w:footnoteReference w:id="61"/>
      </w:r>
      <w:r w:rsidR="009A6D43">
        <w:rPr>
          <w:rFonts w:ascii="Times New Roman" w:hAnsi="Times New Roman" w:cs="Times New Roman"/>
          <w:sz w:val="24"/>
          <w:szCs w:val="24"/>
          <w:lang w:val="en-GB"/>
        </w:rPr>
        <w:t xml:space="preserve"> </w:t>
      </w:r>
      <w:r w:rsidR="00985EF7">
        <w:rPr>
          <w:rFonts w:ascii="Times New Roman" w:hAnsi="Times New Roman" w:cs="Times New Roman"/>
          <w:sz w:val="24"/>
          <w:szCs w:val="24"/>
          <w:lang w:val="en-GB"/>
        </w:rPr>
        <w:t xml:space="preserve">In this judgment, the Court pointed out that the observance of Union law is entrusted </w:t>
      </w:r>
      <w:r w:rsidR="00234CAE">
        <w:rPr>
          <w:rFonts w:ascii="Times New Roman" w:hAnsi="Times New Roman" w:cs="Times New Roman"/>
          <w:sz w:val="24"/>
          <w:szCs w:val="24"/>
          <w:lang w:val="en-GB"/>
        </w:rPr>
        <w:t>to</w:t>
      </w:r>
      <w:r w:rsidR="00985EF7">
        <w:rPr>
          <w:rFonts w:ascii="Times New Roman" w:hAnsi="Times New Roman" w:cs="Times New Roman"/>
          <w:sz w:val="24"/>
          <w:szCs w:val="24"/>
          <w:lang w:val="en-GB"/>
        </w:rPr>
        <w:t xml:space="preserve"> both the </w:t>
      </w:r>
      <w:r w:rsidR="00234CAE">
        <w:rPr>
          <w:rFonts w:ascii="Times New Roman" w:hAnsi="Times New Roman" w:cs="Times New Roman"/>
          <w:sz w:val="24"/>
          <w:szCs w:val="24"/>
          <w:lang w:val="en-GB"/>
        </w:rPr>
        <w:t>CJEU</w:t>
      </w:r>
      <w:r w:rsidR="00985EF7">
        <w:rPr>
          <w:rFonts w:ascii="Times New Roman" w:hAnsi="Times New Roman" w:cs="Times New Roman"/>
          <w:sz w:val="24"/>
          <w:szCs w:val="24"/>
          <w:lang w:val="en-GB"/>
        </w:rPr>
        <w:t xml:space="preserve"> and the national courts and tribunals.</w:t>
      </w:r>
      <w:r w:rsidR="00985EF7">
        <w:rPr>
          <w:rStyle w:val="Voetnootmarkering"/>
          <w:rFonts w:ascii="Times New Roman" w:hAnsi="Times New Roman" w:cs="Times New Roman"/>
          <w:sz w:val="24"/>
          <w:szCs w:val="24"/>
          <w:lang w:val="en-GB"/>
        </w:rPr>
        <w:footnoteReference w:id="62"/>
      </w:r>
      <w:r w:rsidR="00D21D45">
        <w:rPr>
          <w:rFonts w:ascii="Times New Roman" w:hAnsi="Times New Roman" w:cs="Times New Roman"/>
          <w:sz w:val="24"/>
          <w:szCs w:val="24"/>
          <w:lang w:val="en-GB"/>
        </w:rPr>
        <w:t xml:space="preserve"> Therefore, the Member States are obliged to ensure the application of and respect for EU law. In that regard, they are required to provide remedies that are sufficient to ensure effective judicial protection for individual parties in </w:t>
      </w:r>
      <w:r w:rsidR="00234CAE">
        <w:rPr>
          <w:rFonts w:ascii="Times New Roman" w:hAnsi="Times New Roman" w:cs="Times New Roman"/>
          <w:sz w:val="24"/>
          <w:szCs w:val="24"/>
          <w:lang w:val="en-GB"/>
        </w:rPr>
        <w:t>those</w:t>
      </w:r>
      <w:r w:rsidR="00D21D45">
        <w:rPr>
          <w:rFonts w:ascii="Times New Roman" w:hAnsi="Times New Roman" w:cs="Times New Roman"/>
          <w:sz w:val="24"/>
          <w:szCs w:val="24"/>
          <w:lang w:val="en-GB"/>
        </w:rPr>
        <w:t xml:space="preserve"> fields covered by EU law. In light of these principles, all Member States must ensure that the bodies which as courts or tribunals within the meaning of EU law come within its judicial system in the fields covered by that law, meet the requirements of effective judicial protection.</w:t>
      </w:r>
      <w:r w:rsidR="00D21D45">
        <w:rPr>
          <w:rStyle w:val="Voetnootmarkering"/>
          <w:rFonts w:ascii="Times New Roman" w:hAnsi="Times New Roman" w:cs="Times New Roman"/>
          <w:sz w:val="24"/>
          <w:szCs w:val="24"/>
          <w:lang w:val="en-GB"/>
        </w:rPr>
        <w:footnoteReference w:id="63"/>
      </w:r>
    </w:p>
    <w:p w14:paraId="31687502" w14:textId="070D27BB" w:rsidR="006B40F1" w:rsidRDefault="00D21D45"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3156BE">
        <w:rPr>
          <w:rFonts w:ascii="Times New Roman" w:hAnsi="Times New Roman" w:cs="Times New Roman"/>
          <w:sz w:val="24"/>
          <w:szCs w:val="24"/>
          <w:lang w:val="en-GB"/>
        </w:rPr>
        <w:t xml:space="preserve"> </w:t>
      </w:r>
      <w:r w:rsidR="003156BE">
        <w:rPr>
          <w:rFonts w:ascii="Times New Roman" w:hAnsi="Times New Roman" w:cs="Times New Roman"/>
          <w:i/>
          <w:sz w:val="24"/>
          <w:szCs w:val="24"/>
          <w:lang w:val="en-GB"/>
        </w:rPr>
        <w:t>ASJP</w:t>
      </w:r>
      <w:r>
        <w:rPr>
          <w:rFonts w:ascii="Times New Roman" w:hAnsi="Times New Roman" w:cs="Times New Roman"/>
          <w:sz w:val="24"/>
          <w:szCs w:val="24"/>
          <w:lang w:val="en-GB"/>
        </w:rPr>
        <w:t>, the Court essentially interpreted the second subparagraph of Article 19(1) TEU in such a way that it provides an autonomous ground to verify the right to an effective judicial remedy. Autonomous because, unlike Article 47 of the Charter, this provision applies irrespective of whether the Member St</w:t>
      </w:r>
      <w:r w:rsidR="003219F7">
        <w:rPr>
          <w:rFonts w:ascii="Times New Roman" w:hAnsi="Times New Roman" w:cs="Times New Roman"/>
          <w:sz w:val="24"/>
          <w:szCs w:val="24"/>
          <w:lang w:val="en-GB"/>
        </w:rPr>
        <w:t>ates are implementing Union law</w:t>
      </w:r>
      <w:r>
        <w:rPr>
          <w:rFonts w:ascii="Times New Roman" w:hAnsi="Times New Roman" w:cs="Times New Roman"/>
          <w:sz w:val="24"/>
          <w:szCs w:val="24"/>
          <w:lang w:val="en-GB"/>
        </w:rPr>
        <w:t xml:space="preserve"> within the meaning of Article 51(1) of the Charter.</w:t>
      </w:r>
      <w:r>
        <w:rPr>
          <w:rStyle w:val="Voetnootmarkering"/>
          <w:rFonts w:ascii="Times New Roman" w:hAnsi="Times New Roman" w:cs="Times New Roman"/>
          <w:sz w:val="24"/>
          <w:szCs w:val="24"/>
          <w:lang w:val="en-GB"/>
        </w:rPr>
        <w:footnoteReference w:id="64"/>
      </w:r>
      <w:r>
        <w:rPr>
          <w:rFonts w:ascii="Times New Roman" w:hAnsi="Times New Roman" w:cs="Times New Roman"/>
          <w:sz w:val="24"/>
          <w:szCs w:val="24"/>
          <w:lang w:val="en-GB"/>
        </w:rPr>
        <w:t xml:space="preserve"> </w:t>
      </w:r>
      <w:r w:rsidR="006B40F1">
        <w:rPr>
          <w:rFonts w:ascii="Times New Roman" w:hAnsi="Times New Roman" w:cs="Times New Roman"/>
          <w:sz w:val="24"/>
          <w:szCs w:val="24"/>
          <w:lang w:val="en-GB"/>
        </w:rPr>
        <w:t xml:space="preserve">Rather, the relevant </w:t>
      </w:r>
      <w:r w:rsidR="00EA33A3">
        <w:rPr>
          <w:rFonts w:ascii="Times New Roman" w:hAnsi="Times New Roman" w:cs="Times New Roman"/>
          <w:sz w:val="24"/>
          <w:szCs w:val="24"/>
          <w:lang w:val="en-GB"/>
        </w:rPr>
        <w:t>criterion is whether the domestic court in question may be required t</w:t>
      </w:r>
      <w:r w:rsidR="00016963">
        <w:rPr>
          <w:rFonts w:ascii="Times New Roman" w:hAnsi="Times New Roman" w:cs="Times New Roman"/>
          <w:sz w:val="24"/>
          <w:szCs w:val="24"/>
          <w:lang w:val="en-GB"/>
        </w:rPr>
        <w:t>o</w:t>
      </w:r>
      <w:r w:rsidR="00EA33A3">
        <w:rPr>
          <w:rFonts w:ascii="Times New Roman" w:hAnsi="Times New Roman" w:cs="Times New Roman"/>
          <w:sz w:val="24"/>
          <w:szCs w:val="24"/>
          <w:lang w:val="en-GB"/>
        </w:rPr>
        <w:t xml:space="preserve"> rule on questions which concern the application or interpretation of EU law and thus fall within he fields covered by EU law. As </w:t>
      </w:r>
      <w:r w:rsidR="00ED33FE">
        <w:rPr>
          <w:rFonts w:ascii="Times New Roman" w:hAnsi="Times New Roman" w:cs="Times New Roman"/>
          <w:sz w:val="24"/>
          <w:szCs w:val="24"/>
          <w:lang w:val="en-GB"/>
        </w:rPr>
        <w:t>has been</w:t>
      </w:r>
      <w:r w:rsidR="00EA33A3">
        <w:rPr>
          <w:rFonts w:ascii="Times New Roman" w:hAnsi="Times New Roman" w:cs="Times New Roman"/>
          <w:sz w:val="24"/>
          <w:szCs w:val="24"/>
          <w:lang w:val="en-GB"/>
        </w:rPr>
        <w:t xml:space="preserve"> noted,</w:t>
      </w:r>
      <w:r w:rsidR="00EA33A3">
        <w:rPr>
          <w:rStyle w:val="Voetnootmarkering"/>
          <w:rFonts w:ascii="Times New Roman" w:hAnsi="Times New Roman" w:cs="Times New Roman"/>
          <w:sz w:val="24"/>
          <w:szCs w:val="24"/>
          <w:lang w:val="en-GB"/>
        </w:rPr>
        <w:footnoteReference w:id="65"/>
      </w:r>
      <w:r w:rsidR="00EA33A3">
        <w:rPr>
          <w:rFonts w:ascii="Times New Roman" w:hAnsi="Times New Roman" w:cs="Times New Roman"/>
          <w:sz w:val="24"/>
          <w:szCs w:val="24"/>
          <w:lang w:val="en-GB"/>
        </w:rPr>
        <w:t xml:space="preserve"> there do not appear to be many, if any, courts that do not fit that description. Consequently, virtually all domestic courts fall within the sc</w:t>
      </w:r>
      <w:r w:rsidR="004E720B">
        <w:rPr>
          <w:rFonts w:ascii="Times New Roman" w:hAnsi="Times New Roman" w:cs="Times New Roman"/>
          <w:sz w:val="24"/>
          <w:szCs w:val="24"/>
          <w:lang w:val="en-GB"/>
        </w:rPr>
        <w:t>ope of Article 19(1)(2) TEU.</w:t>
      </w:r>
      <w:r w:rsidR="000279D4">
        <w:rPr>
          <w:rStyle w:val="Voetnootmarkering"/>
          <w:rFonts w:ascii="Times New Roman" w:hAnsi="Times New Roman" w:cs="Times New Roman"/>
          <w:sz w:val="24"/>
          <w:szCs w:val="24"/>
          <w:lang w:val="en-GB"/>
        </w:rPr>
        <w:footnoteReference w:id="66"/>
      </w:r>
    </w:p>
    <w:p w14:paraId="695B7D9C" w14:textId="54486FE6" w:rsidR="00EA33A3" w:rsidRDefault="00EA33A3"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its case law, the ECJ has read </w:t>
      </w:r>
      <w:r w:rsidR="00CA7B09">
        <w:rPr>
          <w:rFonts w:ascii="Times New Roman" w:hAnsi="Times New Roman" w:cs="Times New Roman"/>
          <w:sz w:val="24"/>
          <w:szCs w:val="24"/>
          <w:lang w:val="en-GB"/>
        </w:rPr>
        <w:t xml:space="preserve">Article 19(1)(2) TEU in light of </w:t>
      </w:r>
      <w:r w:rsidR="00B90E97">
        <w:rPr>
          <w:rFonts w:ascii="Times New Roman" w:hAnsi="Times New Roman" w:cs="Times New Roman"/>
          <w:sz w:val="24"/>
          <w:szCs w:val="24"/>
          <w:lang w:val="en-GB"/>
        </w:rPr>
        <w:t xml:space="preserve">fundamental rights enshrined in </w:t>
      </w:r>
      <w:r w:rsidR="00CA7B09">
        <w:rPr>
          <w:rFonts w:ascii="Times New Roman" w:hAnsi="Times New Roman" w:cs="Times New Roman"/>
          <w:sz w:val="24"/>
          <w:szCs w:val="24"/>
          <w:lang w:val="en-GB"/>
        </w:rPr>
        <w:t>Article 47 of the Charter.</w:t>
      </w:r>
      <w:r w:rsidR="00CA7B09">
        <w:rPr>
          <w:rStyle w:val="Voetnootmarkering"/>
          <w:rFonts w:ascii="Times New Roman" w:hAnsi="Times New Roman" w:cs="Times New Roman"/>
          <w:sz w:val="24"/>
          <w:szCs w:val="24"/>
          <w:lang w:val="en-GB"/>
        </w:rPr>
        <w:footnoteReference w:id="67"/>
      </w:r>
      <w:r w:rsidR="00CA7B09">
        <w:rPr>
          <w:rFonts w:ascii="Times New Roman" w:hAnsi="Times New Roman" w:cs="Times New Roman"/>
          <w:sz w:val="24"/>
          <w:szCs w:val="24"/>
          <w:lang w:val="en-GB"/>
        </w:rPr>
        <w:t xml:space="preserve"> As of yet, the second subparagraph of Article 19(1) TEU has only been read in conjunction with the right to an independent and impartial court.</w:t>
      </w:r>
      <w:r w:rsidR="00CA7B09">
        <w:rPr>
          <w:rStyle w:val="Voetnootmarkering"/>
          <w:rFonts w:ascii="Times New Roman" w:hAnsi="Times New Roman" w:cs="Times New Roman"/>
          <w:sz w:val="24"/>
          <w:szCs w:val="24"/>
          <w:lang w:val="en-GB"/>
        </w:rPr>
        <w:footnoteReference w:id="68"/>
      </w:r>
      <w:r w:rsidR="00CA7B09">
        <w:rPr>
          <w:rFonts w:ascii="Times New Roman" w:hAnsi="Times New Roman" w:cs="Times New Roman"/>
          <w:sz w:val="24"/>
          <w:szCs w:val="24"/>
          <w:lang w:val="en-GB"/>
        </w:rPr>
        <w:t xml:space="preserve"> There is, however, little that prevents the Court to interpret this provision in the light of other substantive aspects of Article 47 of the Charte</w:t>
      </w:r>
      <w:r w:rsidR="003156BE">
        <w:rPr>
          <w:rFonts w:ascii="Times New Roman" w:hAnsi="Times New Roman" w:cs="Times New Roman"/>
          <w:sz w:val="24"/>
          <w:szCs w:val="24"/>
          <w:lang w:val="en-GB"/>
        </w:rPr>
        <w:t>r,</w:t>
      </w:r>
      <w:r w:rsidR="003156BE">
        <w:rPr>
          <w:rStyle w:val="Voetnootmarkering"/>
          <w:rFonts w:ascii="Times New Roman" w:hAnsi="Times New Roman" w:cs="Times New Roman"/>
          <w:sz w:val="24"/>
          <w:szCs w:val="24"/>
          <w:lang w:val="en-GB"/>
        </w:rPr>
        <w:footnoteReference w:id="69"/>
      </w:r>
      <w:r w:rsidR="00CA7B09">
        <w:rPr>
          <w:rFonts w:ascii="Times New Roman" w:hAnsi="Times New Roman" w:cs="Times New Roman"/>
          <w:sz w:val="24"/>
          <w:szCs w:val="24"/>
          <w:lang w:val="en-GB"/>
        </w:rPr>
        <w:t xml:space="preserve"> such as the right to a tribunal established by law.</w:t>
      </w:r>
    </w:p>
    <w:p w14:paraId="7AC06970" w14:textId="4B192A39" w:rsidR="00EA33A3" w:rsidRDefault="003156BE"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Understood in this sense, Article 19(1)(2) TEU would provide an autonomous ground to verify the right to a tribunal established by law</w:t>
      </w:r>
      <w:r w:rsidR="009E56E9">
        <w:rPr>
          <w:rFonts w:ascii="Times New Roman" w:hAnsi="Times New Roman" w:cs="Times New Roman"/>
          <w:sz w:val="24"/>
          <w:szCs w:val="24"/>
          <w:lang w:val="en-GB"/>
        </w:rPr>
        <w:t xml:space="preserve"> on the domestic level</w:t>
      </w:r>
      <w:r>
        <w:rPr>
          <w:rFonts w:ascii="Times New Roman" w:hAnsi="Times New Roman" w:cs="Times New Roman"/>
          <w:sz w:val="24"/>
          <w:szCs w:val="24"/>
          <w:lang w:val="en-GB"/>
        </w:rPr>
        <w:t xml:space="preserve">. In general, such an understanding seems to be in accordance with the existing case law of the Court. In </w:t>
      </w:r>
      <w:r>
        <w:rPr>
          <w:rFonts w:ascii="Times New Roman" w:hAnsi="Times New Roman" w:cs="Times New Roman"/>
          <w:i/>
          <w:sz w:val="24"/>
          <w:szCs w:val="24"/>
          <w:lang w:val="en-GB"/>
        </w:rPr>
        <w:t xml:space="preserve">ASJP </w:t>
      </w:r>
      <w:r>
        <w:rPr>
          <w:rFonts w:ascii="Times New Roman" w:hAnsi="Times New Roman" w:cs="Times New Roman"/>
          <w:sz w:val="24"/>
          <w:szCs w:val="24"/>
          <w:lang w:val="en-GB"/>
        </w:rPr>
        <w:t xml:space="preserve">the Court held that </w:t>
      </w:r>
      <w:r w:rsidRPr="003156BE">
        <w:rPr>
          <w:rFonts w:ascii="Times New Roman" w:hAnsi="Times New Roman" w:cs="Times New Roman"/>
          <w:sz w:val="24"/>
          <w:szCs w:val="24"/>
          <w:lang w:val="en-GB"/>
        </w:rPr>
        <w:t>Member State</w:t>
      </w:r>
      <w:r w:rsidR="003219F7">
        <w:rPr>
          <w:rFonts w:ascii="Times New Roman" w:hAnsi="Times New Roman" w:cs="Times New Roman"/>
          <w:sz w:val="24"/>
          <w:szCs w:val="24"/>
          <w:lang w:val="en-GB"/>
        </w:rPr>
        <w:t>s</w:t>
      </w:r>
      <w:r w:rsidRPr="003156BE">
        <w:rPr>
          <w:rFonts w:ascii="Times New Roman" w:hAnsi="Times New Roman" w:cs="Times New Roman"/>
          <w:sz w:val="24"/>
          <w:szCs w:val="24"/>
          <w:lang w:val="en-GB"/>
        </w:rPr>
        <w:t xml:space="preserve"> must ensure that the bodies which, as ‘courts or tribunals’ within the meaning of EU law, come within its judicial system in the fields covered by that law, meet the requirements of effective judicial protection.</w:t>
      </w:r>
      <w:r w:rsidR="00D76EB6">
        <w:rPr>
          <w:rStyle w:val="Voetnootmarkering"/>
          <w:rFonts w:ascii="Times New Roman" w:hAnsi="Times New Roman" w:cs="Times New Roman"/>
          <w:sz w:val="24"/>
          <w:szCs w:val="24"/>
          <w:lang w:val="en-GB"/>
        </w:rPr>
        <w:footnoteReference w:id="70"/>
      </w:r>
      <w:r w:rsidR="00D76EB6">
        <w:rPr>
          <w:rFonts w:ascii="Times New Roman" w:hAnsi="Times New Roman" w:cs="Times New Roman"/>
          <w:sz w:val="24"/>
          <w:szCs w:val="24"/>
          <w:lang w:val="en-GB"/>
        </w:rPr>
        <w:t xml:space="preserve"> It then recalled that the factors to be taken into account in assessing whether a body is a ‘court or tribunal’ include, among others, whether the body is established by law, whether its jurisdiction is compulsory, whether its procedure is </w:t>
      </w:r>
      <w:r w:rsidR="00D76EB6">
        <w:rPr>
          <w:rFonts w:ascii="Times New Roman" w:hAnsi="Times New Roman" w:cs="Times New Roman"/>
          <w:i/>
          <w:sz w:val="24"/>
          <w:szCs w:val="24"/>
          <w:lang w:val="en-GB"/>
        </w:rPr>
        <w:t xml:space="preserve">inter </w:t>
      </w:r>
      <w:proofErr w:type="spellStart"/>
      <w:r w:rsidR="00D76EB6">
        <w:rPr>
          <w:rFonts w:ascii="Times New Roman" w:hAnsi="Times New Roman" w:cs="Times New Roman"/>
          <w:i/>
          <w:sz w:val="24"/>
          <w:szCs w:val="24"/>
          <w:lang w:val="en-GB"/>
        </w:rPr>
        <w:t>partes</w:t>
      </w:r>
      <w:proofErr w:type="spellEnd"/>
      <w:r w:rsidR="00D76EB6">
        <w:rPr>
          <w:rFonts w:ascii="Times New Roman" w:hAnsi="Times New Roman" w:cs="Times New Roman"/>
          <w:sz w:val="24"/>
          <w:szCs w:val="24"/>
          <w:lang w:val="en-GB"/>
        </w:rPr>
        <w:t>, whether it applies rules of law and whether it is independent.</w:t>
      </w:r>
      <w:r w:rsidR="00D76EB6">
        <w:rPr>
          <w:rStyle w:val="Voetnootmarkering"/>
          <w:rFonts w:ascii="Times New Roman" w:hAnsi="Times New Roman" w:cs="Times New Roman"/>
          <w:sz w:val="24"/>
          <w:szCs w:val="24"/>
          <w:lang w:val="en-GB"/>
        </w:rPr>
        <w:footnoteReference w:id="71"/>
      </w:r>
      <w:r w:rsidR="00D76EB6">
        <w:rPr>
          <w:rFonts w:ascii="Times New Roman" w:hAnsi="Times New Roman" w:cs="Times New Roman"/>
          <w:sz w:val="24"/>
          <w:szCs w:val="24"/>
          <w:lang w:val="en-GB"/>
        </w:rPr>
        <w:t xml:space="preserve"> Just like judicial independence, the </w:t>
      </w:r>
      <w:r w:rsidR="00AF2E95">
        <w:rPr>
          <w:rFonts w:ascii="Times New Roman" w:hAnsi="Times New Roman" w:cs="Times New Roman"/>
          <w:sz w:val="24"/>
          <w:szCs w:val="24"/>
          <w:lang w:val="en-GB"/>
        </w:rPr>
        <w:t>‘</w:t>
      </w:r>
      <w:r w:rsidR="00D76EB6">
        <w:rPr>
          <w:rFonts w:ascii="Times New Roman" w:hAnsi="Times New Roman" w:cs="Times New Roman"/>
          <w:sz w:val="24"/>
          <w:szCs w:val="24"/>
          <w:lang w:val="en-GB"/>
        </w:rPr>
        <w:t>establishment by law</w:t>
      </w:r>
      <w:r w:rsidR="00AF2E95">
        <w:rPr>
          <w:rFonts w:ascii="Times New Roman" w:hAnsi="Times New Roman" w:cs="Times New Roman"/>
          <w:sz w:val="24"/>
          <w:szCs w:val="24"/>
          <w:lang w:val="en-GB"/>
        </w:rPr>
        <w:t>’</w:t>
      </w:r>
      <w:r w:rsidR="00D76EB6">
        <w:rPr>
          <w:rFonts w:ascii="Times New Roman" w:hAnsi="Times New Roman" w:cs="Times New Roman"/>
          <w:sz w:val="24"/>
          <w:szCs w:val="24"/>
          <w:lang w:val="en-GB"/>
        </w:rPr>
        <w:t xml:space="preserve"> is </w:t>
      </w:r>
      <w:r w:rsidR="00107CDA">
        <w:rPr>
          <w:rFonts w:ascii="Times New Roman" w:hAnsi="Times New Roman" w:cs="Times New Roman"/>
          <w:sz w:val="24"/>
          <w:szCs w:val="24"/>
          <w:lang w:val="en-GB"/>
        </w:rPr>
        <w:t xml:space="preserve">thus </w:t>
      </w:r>
      <w:r w:rsidR="00D76EB6">
        <w:rPr>
          <w:rFonts w:ascii="Times New Roman" w:hAnsi="Times New Roman" w:cs="Times New Roman"/>
          <w:sz w:val="24"/>
          <w:szCs w:val="24"/>
          <w:lang w:val="en-GB"/>
        </w:rPr>
        <w:t>a prerequisite for any domestic body to be seen as a ‘court or tribunal’. Furthermore, the ECJ held that the guarantees of access to an ‘independent and impartial tribunal previously established by law’ represent the cornerstone of the right to a fair trial.</w:t>
      </w:r>
      <w:r w:rsidR="001E2AB9">
        <w:rPr>
          <w:rStyle w:val="Voetnootmarkering"/>
          <w:rFonts w:ascii="Times New Roman" w:hAnsi="Times New Roman" w:cs="Times New Roman"/>
          <w:sz w:val="24"/>
          <w:szCs w:val="24"/>
          <w:lang w:val="en-GB"/>
        </w:rPr>
        <w:footnoteReference w:id="72"/>
      </w:r>
      <w:r w:rsidR="00D76EB6">
        <w:rPr>
          <w:rFonts w:ascii="Times New Roman" w:hAnsi="Times New Roman" w:cs="Times New Roman"/>
          <w:sz w:val="24"/>
          <w:szCs w:val="24"/>
          <w:lang w:val="en-GB"/>
        </w:rPr>
        <w:t xml:space="preserve"> The</w:t>
      </w:r>
      <w:r w:rsidR="00CC3BC0">
        <w:rPr>
          <w:rFonts w:ascii="Times New Roman" w:hAnsi="Times New Roman" w:cs="Times New Roman"/>
          <w:sz w:val="24"/>
          <w:szCs w:val="24"/>
          <w:lang w:val="en-GB"/>
        </w:rPr>
        <w:t xml:space="preserve"> ECJ appears to indicate that a court’s establishment by law and its independence and impartiality concern the very essence of the right to a fair trial and seems to </w:t>
      </w:r>
      <w:r w:rsidR="001E2AB9">
        <w:rPr>
          <w:rFonts w:ascii="Times New Roman" w:hAnsi="Times New Roman" w:cs="Times New Roman"/>
          <w:sz w:val="24"/>
          <w:szCs w:val="24"/>
          <w:lang w:val="en-GB"/>
        </w:rPr>
        <w:t>hold the view that the two</w:t>
      </w:r>
      <w:r w:rsidR="00CC3BC0">
        <w:rPr>
          <w:rFonts w:ascii="Times New Roman" w:hAnsi="Times New Roman" w:cs="Times New Roman"/>
          <w:sz w:val="24"/>
          <w:szCs w:val="24"/>
          <w:lang w:val="en-GB"/>
        </w:rPr>
        <w:t xml:space="preserve"> aspects</w:t>
      </w:r>
      <w:r w:rsidR="001E2AB9">
        <w:rPr>
          <w:rFonts w:ascii="Times New Roman" w:hAnsi="Times New Roman" w:cs="Times New Roman"/>
          <w:sz w:val="24"/>
          <w:szCs w:val="24"/>
          <w:lang w:val="en-GB"/>
        </w:rPr>
        <w:t xml:space="preserve"> are linked</w:t>
      </w:r>
      <w:r w:rsidR="00CC3BC0">
        <w:rPr>
          <w:rFonts w:ascii="Times New Roman" w:hAnsi="Times New Roman" w:cs="Times New Roman"/>
          <w:sz w:val="24"/>
          <w:szCs w:val="24"/>
          <w:lang w:val="en-GB"/>
        </w:rPr>
        <w:t>.</w:t>
      </w:r>
      <w:r w:rsidR="00CC3BC0">
        <w:rPr>
          <w:rStyle w:val="Voetnootmarkering"/>
          <w:rFonts w:ascii="Times New Roman" w:hAnsi="Times New Roman" w:cs="Times New Roman"/>
          <w:sz w:val="24"/>
          <w:szCs w:val="24"/>
          <w:lang w:val="en-GB"/>
        </w:rPr>
        <w:footnoteReference w:id="73"/>
      </w:r>
      <w:r w:rsidR="001E2AB9">
        <w:rPr>
          <w:rFonts w:ascii="Times New Roman" w:hAnsi="Times New Roman" w:cs="Times New Roman"/>
          <w:sz w:val="24"/>
          <w:szCs w:val="24"/>
          <w:lang w:val="en-GB"/>
        </w:rPr>
        <w:t xml:space="preserve"> These two aspects indeed seem to be the two most fundamental aspects of the right to a fair trial enshrined in Article 47(2) of the Charter. </w:t>
      </w:r>
      <w:r w:rsidR="00D96B48">
        <w:rPr>
          <w:rFonts w:ascii="Times New Roman" w:hAnsi="Times New Roman" w:cs="Times New Roman"/>
          <w:sz w:val="24"/>
          <w:szCs w:val="24"/>
          <w:lang w:val="en-GB"/>
        </w:rPr>
        <w:t xml:space="preserve">As opposed to, for example, the right to be tried within a reasonable time, these two aspects have a structural nature, in the sense that, if they have not been met, one could question every judgment </w:t>
      </w:r>
      <w:r w:rsidR="003D727A">
        <w:rPr>
          <w:rFonts w:ascii="Times New Roman" w:hAnsi="Times New Roman" w:cs="Times New Roman"/>
          <w:sz w:val="24"/>
          <w:szCs w:val="24"/>
          <w:lang w:val="en-GB"/>
        </w:rPr>
        <w:t xml:space="preserve">issued </w:t>
      </w:r>
      <w:r w:rsidR="00D96B48">
        <w:rPr>
          <w:rFonts w:ascii="Times New Roman" w:hAnsi="Times New Roman" w:cs="Times New Roman"/>
          <w:sz w:val="24"/>
          <w:szCs w:val="24"/>
          <w:lang w:val="en-GB"/>
        </w:rPr>
        <w:t>by that court.</w:t>
      </w:r>
      <w:r w:rsidR="00D96B48">
        <w:rPr>
          <w:rStyle w:val="Voetnootmarkering"/>
          <w:rFonts w:ascii="Times New Roman" w:hAnsi="Times New Roman" w:cs="Times New Roman"/>
          <w:sz w:val="24"/>
          <w:szCs w:val="24"/>
          <w:lang w:val="en-GB"/>
        </w:rPr>
        <w:footnoteReference w:id="74"/>
      </w:r>
    </w:p>
    <w:p w14:paraId="578A8C6D" w14:textId="7F3A8EC2" w:rsidR="00C80546" w:rsidRPr="00D76EB6" w:rsidRDefault="00BE47F8"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On these grounds, I argue that the right to effective judicial protection, enshrined in the second subparagraph of Article 19(1</w:t>
      </w:r>
      <w:r w:rsidR="009C0BA9">
        <w:rPr>
          <w:rFonts w:ascii="Times New Roman" w:hAnsi="Times New Roman" w:cs="Times New Roman"/>
          <w:sz w:val="24"/>
          <w:szCs w:val="24"/>
          <w:lang w:val="en-GB"/>
        </w:rPr>
        <w:t>)</w:t>
      </w:r>
      <w:r w:rsidR="00111D52">
        <w:rPr>
          <w:rFonts w:ascii="Times New Roman" w:hAnsi="Times New Roman" w:cs="Times New Roman"/>
          <w:sz w:val="24"/>
          <w:szCs w:val="24"/>
          <w:lang w:val="en-GB"/>
        </w:rPr>
        <w:t xml:space="preserve"> TEU</w:t>
      </w:r>
      <w:r w:rsidR="00107CDA">
        <w:rPr>
          <w:rFonts w:ascii="Times New Roman" w:hAnsi="Times New Roman" w:cs="Times New Roman"/>
          <w:sz w:val="24"/>
          <w:szCs w:val="24"/>
          <w:lang w:val="en-GB"/>
        </w:rPr>
        <w:t>, can be read in conjunction with</w:t>
      </w:r>
      <w:r w:rsidR="009C0BA9">
        <w:rPr>
          <w:rFonts w:ascii="Times New Roman" w:hAnsi="Times New Roman" w:cs="Times New Roman"/>
          <w:sz w:val="24"/>
          <w:szCs w:val="24"/>
          <w:lang w:val="en-GB"/>
        </w:rPr>
        <w:t xml:space="preserve"> the right to a tribunal established by law.</w:t>
      </w:r>
      <w:r w:rsidR="00151D9C">
        <w:rPr>
          <w:rStyle w:val="Voetnootmarkering"/>
          <w:rFonts w:ascii="Times New Roman" w:hAnsi="Times New Roman" w:cs="Times New Roman"/>
          <w:sz w:val="24"/>
          <w:szCs w:val="24"/>
          <w:lang w:val="en-GB"/>
        </w:rPr>
        <w:footnoteReference w:id="75"/>
      </w:r>
      <w:r w:rsidR="009C0BA9">
        <w:rPr>
          <w:rFonts w:ascii="Times New Roman" w:hAnsi="Times New Roman" w:cs="Times New Roman"/>
          <w:sz w:val="24"/>
          <w:szCs w:val="24"/>
          <w:lang w:val="en-GB"/>
        </w:rPr>
        <w:t xml:space="preserve"> This provision would then provide an autonomous ground for </w:t>
      </w:r>
      <w:r w:rsidR="00555059">
        <w:rPr>
          <w:rFonts w:ascii="Times New Roman" w:hAnsi="Times New Roman" w:cs="Times New Roman"/>
          <w:sz w:val="24"/>
          <w:szCs w:val="24"/>
          <w:lang w:val="en-GB"/>
        </w:rPr>
        <w:t>this right</w:t>
      </w:r>
      <w:r w:rsidR="009C0BA9">
        <w:rPr>
          <w:rFonts w:ascii="Times New Roman" w:hAnsi="Times New Roman" w:cs="Times New Roman"/>
          <w:sz w:val="24"/>
          <w:szCs w:val="24"/>
          <w:lang w:val="en-GB"/>
        </w:rPr>
        <w:t>.</w:t>
      </w:r>
      <w:r w:rsidR="00555059">
        <w:rPr>
          <w:rFonts w:ascii="Times New Roman" w:hAnsi="Times New Roman" w:cs="Times New Roman"/>
          <w:sz w:val="24"/>
          <w:szCs w:val="24"/>
          <w:lang w:val="en-GB"/>
        </w:rPr>
        <w:t xml:space="preserve"> </w:t>
      </w:r>
      <w:r w:rsidR="009C0BA9">
        <w:rPr>
          <w:rFonts w:ascii="Times New Roman" w:hAnsi="Times New Roman" w:cs="Times New Roman"/>
          <w:sz w:val="24"/>
          <w:szCs w:val="24"/>
          <w:lang w:val="en-GB"/>
        </w:rPr>
        <w:t xml:space="preserve">Based on this </w:t>
      </w:r>
      <w:r w:rsidR="00555059">
        <w:rPr>
          <w:rFonts w:ascii="Times New Roman" w:hAnsi="Times New Roman" w:cs="Times New Roman"/>
          <w:sz w:val="24"/>
          <w:szCs w:val="24"/>
          <w:lang w:val="en-GB"/>
        </w:rPr>
        <w:t>provision</w:t>
      </w:r>
      <w:r w:rsidR="009C0BA9">
        <w:rPr>
          <w:rFonts w:ascii="Times New Roman" w:hAnsi="Times New Roman" w:cs="Times New Roman"/>
          <w:sz w:val="24"/>
          <w:szCs w:val="24"/>
          <w:lang w:val="en-GB"/>
        </w:rPr>
        <w:t xml:space="preserve">, </w:t>
      </w:r>
      <w:r w:rsidR="00555059">
        <w:rPr>
          <w:rFonts w:ascii="Times New Roman" w:hAnsi="Times New Roman" w:cs="Times New Roman"/>
          <w:sz w:val="24"/>
          <w:szCs w:val="24"/>
          <w:lang w:val="en-GB"/>
        </w:rPr>
        <w:t xml:space="preserve">establishment by law and the compliance with procedural requirements during the judicial appointment </w:t>
      </w:r>
      <w:r w:rsidR="00FE6C10">
        <w:rPr>
          <w:rFonts w:ascii="Times New Roman" w:hAnsi="Times New Roman" w:cs="Times New Roman"/>
          <w:sz w:val="24"/>
          <w:szCs w:val="24"/>
          <w:lang w:val="en-GB"/>
        </w:rPr>
        <w:t>proceedings</w:t>
      </w:r>
      <w:r w:rsidR="00555059">
        <w:rPr>
          <w:rFonts w:ascii="Times New Roman" w:hAnsi="Times New Roman" w:cs="Times New Roman"/>
          <w:sz w:val="24"/>
          <w:szCs w:val="24"/>
          <w:lang w:val="en-GB"/>
        </w:rPr>
        <w:t>, would then become a duty of EU law for the domestic courts, subject to supervision by the ECJ.</w:t>
      </w:r>
      <w:r w:rsidR="009C0BA9">
        <w:rPr>
          <w:rFonts w:ascii="Times New Roman" w:hAnsi="Times New Roman" w:cs="Times New Roman"/>
          <w:sz w:val="24"/>
          <w:szCs w:val="24"/>
          <w:lang w:val="en-GB"/>
        </w:rPr>
        <w:t xml:space="preserve"> It should be noted here, that the Court will have to rule on this interpretation of Article 19(1)(2) TEU in the near future. At the time of writing, there are several preliminary references pending before the Court which ask whether Article 19(1) TEU, read in conjunction with Article 47 of the Charter and Article 267 TFEU, must be interpreted as </w:t>
      </w:r>
      <w:r w:rsidR="009C0BA9" w:rsidRPr="009C0BA9">
        <w:rPr>
          <w:rFonts w:ascii="Times New Roman" w:hAnsi="Times New Roman" w:cs="Times New Roman"/>
          <w:sz w:val="24"/>
          <w:szCs w:val="24"/>
          <w:lang w:val="en-GB"/>
        </w:rPr>
        <w:t>meaning that a person who has been appointed to the position of judge in flagrant breach of the laws of a Member State applicable to judicial appointments</w:t>
      </w:r>
      <w:r w:rsidR="00111D52">
        <w:rPr>
          <w:rFonts w:ascii="Times New Roman" w:hAnsi="Times New Roman" w:cs="Times New Roman"/>
          <w:sz w:val="24"/>
          <w:szCs w:val="24"/>
          <w:lang w:val="en-GB"/>
        </w:rPr>
        <w:t xml:space="preserve"> is</w:t>
      </w:r>
      <w:r w:rsidR="00842029">
        <w:rPr>
          <w:rFonts w:ascii="Times New Roman" w:hAnsi="Times New Roman" w:cs="Times New Roman"/>
          <w:sz w:val="24"/>
          <w:szCs w:val="24"/>
          <w:lang w:val="en-GB"/>
        </w:rPr>
        <w:t xml:space="preserve"> not an independent jud</w:t>
      </w:r>
      <w:r w:rsidR="00111D52">
        <w:rPr>
          <w:rFonts w:ascii="Times New Roman" w:hAnsi="Times New Roman" w:cs="Times New Roman"/>
          <w:sz w:val="24"/>
          <w:szCs w:val="24"/>
          <w:lang w:val="en-GB"/>
        </w:rPr>
        <w:t xml:space="preserve">ge within the meaning of EU law, </w:t>
      </w:r>
      <w:r w:rsidR="00842029">
        <w:rPr>
          <w:rFonts w:ascii="Times New Roman" w:hAnsi="Times New Roman" w:cs="Times New Roman"/>
          <w:sz w:val="24"/>
          <w:szCs w:val="24"/>
          <w:lang w:val="en-GB"/>
        </w:rPr>
        <w:t xml:space="preserve">and whether a </w:t>
      </w:r>
      <w:r w:rsidR="00111D52">
        <w:rPr>
          <w:rFonts w:ascii="Times New Roman" w:hAnsi="Times New Roman" w:cs="Times New Roman"/>
          <w:sz w:val="24"/>
          <w:szCs w:val="24"/>
          <w:lang w:val="en-GB"/>
        </w:rPr>
        <w:t>c</w:t>
      </w:r>
      <w:r w:rsidR="00842029">
        <w:rPr>
          <w:rFonts w:ascii="Times New Roman" w:hAnsi="Times New Roman" w:cs="Times New Roman"/>
          <w:sz w:val="24"/>
          <w:szCs w:val="24"/>
          <w:lang w:val="en-GB"/>
        </w:rPr>
        <w:t xml:space="preserve">ourt whose composition includes such </w:t>
      </w:r>
      <w:r w:rsidR="00111D52">
        <w:rPr>
          <w:rFonts w:ascii="Times New Roman" w:hAnsi="Times New Roman" w:cs="Times New Roman"/>
          <w:sz w:val="24"/>
          <w:szCs w:val="24"/>
          <w:lang w:val="en-GB"/>
        </w:rPr>
        <w:t xml:space="preserve">a </w:t>
      </w:r>
      <w:r w:rsidR="00842029">
        <w:rPr>
          <w:rFonts w:ascii="Times New Roman" w:hAnsi="Times New Roman" w:cs="Times New Roman"/>
          <w:sz w:val="24"/>
          <w:szCs w:val="24"/>
          <w:lang w:val="en-GB"/>
        </w:rPr>
        <w:t>person is not an independent and impartial tribunal established by law within the meaning of EU law.</w:t>
      </w:r>
      <w:r w:rsidR="00842029">
        <w:rPr>
          <w:rStyle w:val="Voetnootmarkering"/>
          <w:rFonts w:ascii="Times New Roman" w:hAnsi="Times New Roman" w:cs="Times New Roman"/>
          <w:sz w:val="24"/>
          <w:szCs w:val="24"/>
          <w:lang w:val="en-GB"/>
        </w:rPr>
        <w:footnoteReference w:id="76"/>
      </w:r>
    </w:p>
    <w:p w14:paraId="353429CA" w14:textId="4D64CAFE" w:rsidR="00260B86" w:rsidRDefault="00937957"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above made clear that the principles that were set out in the judgment of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w:t>
      </w:r>
      <w:r>
        <w:rPr>
          <w:rFonts w:ascii="Times New Roman" w:hAnsi="Times New Roman" w:cs="Times New Roman"/>
          <w:sz w:val="24"/>
          <w:szCs w:val="24"/>
          <w:lang w:val="en-GB"/>
        </w:rPr>
        <w:t xml:space="preserve"> can be applied to the domestic judiciary.</w:t>
      </w:r>
      <w:r>
        <w:rPr>
          <w:rStyle w:val="Voetnootmarkering"/>
          <w:rFonts w:ascii="Times New Roman" w:hAnsi="Times New Roman" w:cs="Times New Roman"/>
          <w:sz w:val="24"/>
          <w:szCs w:val="24"/>
          <w:lang w:val="en-GB"/>
        </w:rPr>
        <w:footnoteReference w:id="77"/>
      </w:r>
      <w:r>
        <w:rPr>
          <w:rFonts w:ascii="Times New Roman" w:hAnsi="Times New Roman" w:cs="Times New Roman"/>
          <w:sz w:val="24"/>
          <w:szCs w:val="24"/>
          <w:lang w:val="en-GB"/>
        </w:rPr>
        <w:t xml:space="preserve"> If the ECJ does not interpret Article 19(1)(2) TEU as to encompass the establishment by law, then domestic judges will still have to comply with these principles when they rule on rights and freedoms within the sense of Article 47 of the Charter. </w:t>
      </w:r>
      <w:r w:rsidR="007C0EEE">
        <w:rPr>
          <w:rFonts w:ascii="Times New Roman" w:hAnsi="Times New Roman" w:cs="Times New Roman"/>
          <w:sz w:val="24"/>
          <w:szCs w:val="24"/>
          <w:lang w:val="en-GB"/>
        </w:rPr>
        <w:t xml:space="preserve">This conclusion has significant repercussions for the domestic judicial order. From now on, every domestic </w:t>
      </w:r>
      <w:r w:rsidR="009112A2">
        <w:rPr>
          <w:rFonts w:ascii="Times New Roman" w:hAnsi="Times New Roman" w:cs="Times New Roman"/>
          <w:sz w:val="24"/>
          <w:szCs w:val="24"/>
          <w:lang w:val="en-GB"/>
        </w:rPr>
        <w:t xml:space="preserve">court </w:t>
      </w:r>
      <w:r w:rsidR="007C0EEE">
        <w:rPr>
          <w:rFonts w:ascii="Times New Roman" w:hAnsi="Times New Roman" w:cs="Times New Roman"/>
          <w:sz w:val="24"/>
          <w:szCs w:val="24"/>
          <w:lang w:val="en-GB"/>
        </w:rPr>
        <w:t>is obliged under EU law to verify</w:t>
      </w:r>
      <w:r w:rsidR="009112A2">
        <w:rPr>
          <w:rFonts w:ascii="Times New Roman" w:hAnsi="Times New Roman" w:cs="Times New Roman"/>
          <w:sz w:val="24"/>
          <w:szCs w:val="24"/>
          <w:lang w:val="en-GB"/>
        </w:rPr>
        <w:t xml:space="preserve"> of its own motion</w:t>
      </w:r>
      <w:r w:rsidR="007C0EEE">
        <w:rPr>
          <w:rFonts w:ascii="Times New Roman" w:hAnsi="Times New Roman" w:cs="Times New Roman"/>
          <w:sz w:val="24"/>
          <w:szCs w:val="24"/>
          <w:lang w:val="en-GB"/>
        </w:rPr>
        <w:t xml:space="preserve"> whether</w:t>
      </w:r>
      <w:r w:rsidR="009112A2">
        <w:rPr>
          <w:rFonts w:ascii="Times New Roman" w:hAnsi="Times New Roman" w:cs="Times New Roman"/>
          <w:sz w:val="24"/>
          <w:szCs w:val="24"/>
          <w:lang w:val="en-GB"/>
        </w:rPr>
        <w:t>, as composed, it constitutes a tribunal established by law.</w:t>
      </w:r>
      <w:r w:rsidR="009112A2">
        <w:rPr>
          <w:rStyle w:val="Voetnootmarkering"/>
          <w:rFonts w:ascii="Times New Roman" w:hAnsi="Times New Roman" w:cs="Times New Roman"/>
          <w:sz w:val="24"/>
          <w:szCs w:val="24"/>
          <w:lang w:val="en-GB"/>
        </w:rPr>
        <w:footnoteReference w:id="78"/>
      </w:r>
      <w:r w:rsidR="007E441A">
        <w:rPr>
          <w:rFonts w:ascii="Times New Roman" w:hAnsi="Times New Roman" w:cs="Times New Roman"/>
          <w:sz w:val="24"/>
          <w:szCs w:val="24"/>
          <w:lang w:val="en-GB"/>
        </w:rPr>
        <w:t xml:space="preserve"> </w:t>
      </w:r>
      <w:r w:rsidR="00107CDA">
        <w:rPr>
          <w:rFonts w:ascii="Times New Roman" w:hAnsi="Times New Roman" w:cs="Times New Roman"/>
          <w:sz w:val="24"/>
          <w:szCs w:val="24"/>
          <w:lang w:val="en-GB"/>
        </w:rPr>
        <w:t>As such</w:t>
      </w:r>
      <w:r w:rsidR="007E441A">
        <w:rPr>
          <w:rFonts w:ascii="Times New Roman" w:hAnsi="Times New Roman" w:cs="Times New Roman"/>
          <w:sz w:val="24"/>
          <w:szCs w:val="24"/>
          <w:lang w:val="en-GB"/>
        </w:rPr>
        <w:t xml:space="preserve">, they </w:t>
      </w:r>
      <w:r w:rsidR="00107CDA">
        <w:rPr>
          <w:rFonts w:ascii="Times New Roman" w:hAnsi="Times New Roman" w:cs="Times New Roman"/>
          <w:sz w:val="24"/>
          <w:szCs w:val="24"/>
          <w:lang w:val="en-GB"/>
        </w:rPr>
        <w:t>are competent</w:t>
      </w:r>
      <w:r w:rsidR="007E441A">
        <w:rPr>
          <w:rFonts w:ascii="Times New Roman" w:hAnsi="Times New Roman" w:cs="Times New Roman"/>
          <w:sz w:val="24"/>
          <w:szCs w:val="24"/>
          <w:lang w:val="en-GB"/>
        </w:rPr>
        <w:t xml:space="preserve"> </w:t>
      </w:r>
      <w:r w:rsidR="003219F7">
        <w:rPr>
          <w:rFonts w:ascii="Times New Roman" w:hAnsi="Times New Roman" w:cs="Times New Roman"/>
          <w:sz w:val="24"/>
          <w:szCs w:val="24"/>
          <w:lang w:val="en-GB"/>
        </w:rPr>
        <w:t xml:space="preserve">to </w:t>
      </w:r>
      <w:r w:rsidR="007E441A">
        <w:rPr>
          <w:rFonts w:ascii="Times New Roman" w:hAnsi="Times New Roman" w:cs="Times New Roman"/>
          <w:sz w:val="24"/>
          <w:szCs w:val="24"/>
          <w:lang w:val="en-GB"/>
        </w:rPr>
        <w:t xml:space="preserve">assess whether the appointment proceedings occurred in conformity with the procedural requirements. </w:t>
      </w:r>
      <w:r w:rsidR="00085855">
        <w:rPr>
          <w:rFonts w:ascii="Times New Roman" w:hAnsi="Times New Roman" w:cs="Times New Roman"/>
          <w:sz w:val="24"/>
          <w:szCs w:val="24"/>
          <w:lang w:val="en-GB"/>
        </w:rPr>
        <w:t>In this sense, the ECJ has empowered the domestic courts vis-à-vis the executive and legislature.</w:t>
      </w:r>
      <w:r w:rsidR="009112A2">
        <w:rPr>
          <w:rFonts w:ascii="Times New Roman" w:hAnsi="Times New Roman" w:cs="Times New Roman"/>
          <w:sz w:val="24"/>
          <w:szCs w:val="24"/>
          <w:lang w:val="en-GB"/>
        </w:rPr>
        <w:t xml:space="preserve"> Just </w:t>
      </w:r>
      <w:r w:rsidR="007E441A">
        <w:rPr>
          <w:rFonts w:ascii="Times New Roman" w:hAnsi="Times New Roman" w:cs="Times New Roman"/>
          <w:sz w:val="24"/>
          <w:szCs w:val="24"/>
          <w:lang w:val="en-GB"/>
        </w:rPr>
        <w:t>as</w:t>
      </w:r>
      <w:r w:rsidR="009112A2">
        <w:rPr>
          <w:rFonts w:ascii="Times New Roman" w:hAnsi="Times New Roman" w:cs="Times New Roman"/>
          <w:sz w:val="24"/>
          <w:szCs w:val="24"/>
          <w:lang w:val="en-GB"/>
        </w:rPr>
        <w:t xml:space="preserve"> with judicial independence, the ECJ </w:t>
      </w:r>
      <w:r w:rsidR="00107CDA">
        <w:rPr>
          <w:rFonts w:ascii="Times New Roman" w:hAnsi="Times New Roman" w:cs="Times New Roman"/>
          <w:sz w:val="24"/>
          <w:szCs w:val="24"/>
          <w:lang w:val="en-GB"/>
        </w:rPr>
        <w:t>is c</w:t>
      </w:r>
      <w:r w:rsidR="009112A2">
        <w:rPr>
          <w:rFonts w:ascii="Times New Roman" w:hAnsi="Times New Roman" w:cs="Times New Roman"/>
          <w:sz w:val="24"/>
          <w:szCs w:val="24"/>
          <w:lang w:val="en-GB"/>
        </w:rPr>
        <w:t xml:space="preserve">ompetent to verify whether the domestic courts comply with this obligation. Moreover, when the national courts are in doubt about the exact meaning of ‘established by law’, they will be able to </w:t>
      </w:r>
      <w:r w:rsidR="00107CDA">
        <w:rPr>
          <w:rFonts w:ascii="Times New Roman" w:hAnsi="Times New Roman" w:cs="Times New Roman"/>
          <w:sz w:val="24"/>
          <w:szCs w:val="24"/>
          <w:lang w:val="en-GB"/>
        </w:rPr>
        <w:t>ask</w:t>
      </w:r>
      <w:r w:rsidR="009112A2">
        <w:rPr>
          <w:rFonts w:ascii="Times New Roman" w:hAnsi="Times New Roman" w:cs="Times New Roman"/>
          <w:sz w:val="24"/>
          <w:szCs w:val="24"/>
          <w:lang w:val="en-GB"/>
        </w:rPr>
        <w:t xml:space="preserve"> the ECJ via the preliminary reference procedure.</w:t>
      </w:r>
    </w:p>
    <w:p w14:paraId="2799E5B9" w14:textId="4AE63875" w:rsidR="009112A2" w:rsidRDefault="009112A2"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This bring</w:t>
      </w:r>
      <w:r w:rsidR="00D74646">
        <w:rPr>
          <w:rFonts w:ascii="Times New Roman" w:hAnsi="Times New Roman" w:cs="Times New Roman"/>
          <w:sz w:val="24"/>
          <w:szCs w:val="24"/>
          <w:lang w:val="en-GB"/>
        </w:rPr>
        <w:t>s</w:t>
      </w:r>
      <w:r>
        <w:rPr>
          <w:rFonts w:ascii="Times New Roman" w:hAnsi="Times New Roman" w:cs="Times New Roman"/>
          <w:sz w:val="24"/>
          <w:szCs w:val="24"/>
          <w:lang w:val="en-GB"/>
        </w:rPr>
        <w:t xml:space="preserve"> me to </w:t>
      </w:r>
      <w:r w:rsidR="00D74646">
        <w:rPr>
          <w:rFonts w:ascii="Times New Roman" w:hAnsi="Times New Roman" w:cs="Times New Roman"/>
          <w:sz w:val="24"/>
          <w:szCs w:val="24"/>
          <w:lang w:val="en-GB"/>
        </w:rPr>
        <w:t xml:space="preserve">a related point. As was noted above, the notion of </w:t>
      </w:r>
      <w:r w:rsidR="00AF2E95">
        <w:rPr>
          <w:rFonts w:ascii="Times New Roman" w:hAnsi="Times New Roman" w:cs="Times New Roman"/>
          <w:sz w:val="24"/>
          <w:szCs w:val="24"/>
          <w:lang w:val="en-GB"/>
        </w:rPr>
        <w:t>‘</w:t>
      </w:r>
      <w:r w:rsidR="00D74646">
        <w:rPr>
          <w:rFonts w:ascii="Times New Roman" w:hAnsi="Times New Roman" w:cs="Times New Roman"/>
          <w:sz w:val="24"/>
          <w:szCs w:val="24"/>
          <w:lang w:val="en-GB"/>
        </w:rPr>
        <w:t>establishment by law</w:t>
      </w:r>
      <w:r w:rsidR="00AF2E95">
        <w:rPr>
          <w:rFonts w:ascii="Times New Roman" w:hAnsi="Times New Roman" w:cs="Times New Roman"/>
          <w:sz w:val="24"/>
          <w:szCs w:val="24"/>
          <w:lang w:val="en-GB"/>
        </w:rPr>
        <w:t>’</w:t>
      </w:r>
      <w:r w:rsidR="00D74646">
        <w:rPr>
          <w:rFonts w:ascii="Times New Roman" w:hAnsi="Times New Roman" w:cs="Times New Roman"/>
          <w:sz w:val="24"/>
          <w:szCs w:val="24"/>
          <w:lang w:val="en-GB"/>
        </w:rPr>
        <w:t xml:space="preserve"> appears both in the right to a fair trial, enshrined in Article 47(2) of the Charter, and in Article 267 TFEU. The question then arises whether a domestic tribunal that is not seen as established by law in the sense of Article 47(2) of the Charter, is still allowed </w:t>
      </w:r>
      <w:r w:rsidR="009367FB">
        <w:rPr>
          <w:rFonts w:ascii="Times New Roman" w:hAnsi="Times New Roman" w:cs="Times New Roman"/>
          <w:sz w:val="24"/>
          <w:szCs w:val="24"/>
          <w:lang w:val="en-GB"/>
        </w:rPr>
        <w:t xml:space="preserve">to reach the Court via the preliminary ruling mechanism of Article 267 TFEU. The exact same question was raised after the </w:t>
      </w:r>
      <w:r w:rsidR="009367FB">
        <w:rPr>
          <w:rFonts w:ascii="Times New Roman" w:hAnsi="Times New Roman" w:cs="Times New Roman"/>
          <w:i/>
          <w:sz w:val="24"/>
          <w:szCs w:val="24"/>
          <w:lang w:val="en-GB"/>
        </w:rPr>
        <w:t xml:space="preserve">ASJP </w:t>
      </w:r>
      <w:r w:rsidR="009367FB">
        <w:rPr>
          <w:rFonts w:ascii="Times New Roman" w:hAnsi="Times New Roman" w:cs="Times New Roman"/>
          <w:sz w:val="24"/>
          <w:szCs w:val="24"/>
          <w:lang w:val="en-GB"/>
        </w:rPr>
        <w:t>judgment with regard to the aspect of judicial independence.</w:t>
      </w:r>
      <w:r w:rsidR="009367FB">
        <w:rPr>
          <w:rStyle w:val="Voetnootmarkering"/>
          <w:rFonts w:ascii="Times New Roman" w:hAnsi="Times New Roman" w:cs="Times New Roman"/>
          <w:sz w:val="24"/>
          <w:szCs w:val="24"/>
          <w:lang w:val="en-GB"/>
        </w:rPr>
        <w:footnoteReference w:id="79"/>
      </w:r>
      <w:r w:rsidR="009367FB">
        <w:rPr>
          <w:rFonts w:ascii="Times New Roman" w:hAnsi="Times New Roman" w:cs="Times New Roman"/>
          <w:sz w:val="24"/>
          <w:szCs w:val="24"/>
          <w:lang w:val="en-GB"/>
        </w:rPr>
        <w:t xml:space="preserve"> Since the recent judgment in </w:t>
      </w:r>
      <w:r w:rsidR="009367FB">
        <w:rPr>
          <w:rFonts w:ascii="Times New Roman" w:hAnsi="Times New Roman" w:cs="Times New Roman"/>
          <w:i/>
          <w:sz w:val="24"/>
          <w:szCs w:val="24"/>
          <w:lang w:val="en-GB"/>
        </w:rPr>
        <w:t>Banco de Santander</w:t>
      </w:r>
      <w:r w:rsidR="009367FB">
        <w:rPr>
          <w:rFonts w:ascii="Times New Roman" w:hAnsi="Times New Roman" w:cs="Times New Roman"/>
          <w:sz w:val="24"/>
          <w:szCs w:val="24"/>
          <w:lang w:val="en-GB"/>
        </w:rPr>
        <w:t>,</w:t>
      </w:r>
      <w:r w:rsidR="009367FB">
        <w:rPr>
          <w:rStyle w:val="Voetnootmarkering"/>
          <w:rFonts w:ascii="Times New Roman" w:hAnsi="Times New Roman" w:cs="Times New Roman"/>
          <w:sz w:val="24"/>
          <w:szCs w:val="24"/>
          <w:lang w:val="en-GB"/>
        </w:rPr>
        <w:footnoteReference w:id="80"/>
      </w:r>
      <w:r w:rsidR="009367FB">
        <w:rPr>
          <w:rFonts w:ascii="Times New Roman" w:hAnsi="Times New Roman" w:cs="Times New Roman"/>
          <w:sz w:val="24"/>
          <w:szCs w:val="24"/>
          <w:lang w:val="en-GB"/>
        </w:rPr>
        <w:t xml:space="preserve"> the answer to this question would appear to be negative. In </w:t>
      </w:r>
      <w:r w:rsidR="009367FB">
        <w:rPr>
          <w:rFonts w:ascii="Times New Roman" w:hAnsi="Times New Roman" w:cs="Times New Roman"/>
          <w:sz w:val="24"/>
          <w:szCs w:val="24"/>
          <w:lang w:val="en-GB"/>
        </w:rPr>
        <w:lastRenderedPageBreak/>
        <w:t xml:space="preserve">this case, the Court </w:t>
      </w:r>
      <w:r w:rsidR="00B06F3F">
        <w:rPr>
          <w:rFonts w:ascii="Times New Roman" w:hAnsi="Times New Roman" w:cs="Times New Roman"/>
          <w:sz w:val="24"/>
          <w:szCs w:val="24"/>
          <w:lang w:val="en-GB"/>
        </w:rPr>
        <w:t>declared a request for a preliminary ruling inadmissible because it concluded that the referring body was not independent. In doing so, the Court relied on its case law concerning Article 19(1)(2) TEU and Article 47 of the Charter when assessing the notion of independence under Article 267 TFEU.</w:t>
      </w:r>
      <w:r w:rsidR="00B06F3F">
        <w:rPr>
          <w:rStyle w:val="Voetnootmarkering"/>
          <w:rFonts w:ascii="Times New Roman" w:hAnsi="Times New Roman" w:cs="Times New Roman"/>
          <w:sz w:val="24"/>
          <w:szCs w:val="24"/>
          <w:lang w:val="en-GB"/>
        </w:rPr>
        <w:footnoteReference w:id="81"/>
      </w:r>
      <w:r w:rsidR="00B06F3F">
        <w:rPr>
          <w:rFonts w:ascii="Times New Roman" w:hAnsi="Times New Roman" w:cs="Times New Roman"/>
          <w:sz w:val="24"/>
          <w:szCs w:val="24"/>
          <w:lang w:val="en-GB"/>
        </w:rPr>
        <w:t xml:space="preserve"> </w:t>
      </w:r>
      <w:r w:rsidR="00CB249F">
        <w:rPr>
          <w:rFonts w:ascii="Times New Roman" w:hAnsi="Times New Roman" w:cs="Times New Roman"/>
          <w:sz w:val="24"/>
          <w:szCs w:val="24"/>
          <w:lang w:val="en-GB"/>
        </w:rPr>
        <w:t xml:space="preserve">With this judgment the Court indicated that the notion of independence in Article 19(1)(2) </w:t>
      </w:r>
      <w:r w:rsidR="007E441A">
        <w:rPr>
          <w:rFonts w:ascii="Times New Roman" w:hAnsi="Times New Roman" w:cs="Times New Roman"/>
          <w:sz w:val="24"/>
          <w:szCs w:val="24"/>
          <w:lang w:val="en-GB"/>
        </w:rPr>
        <w:t xml:space="preserve">TEU </w:t>
      </w:r>
      <w:r w:rsidR="00CB249F">
        <w:rPr>
          <w:rFonts w:ascii="Times New Roman" w:hAnsi="Times New Roman" w:cs="Times New Roman"/>
          <w:sz w:val="24"/>
          <w:szCs w:val="24"/>
          <w:lang w:val="en-GB"/>
        </w:rPr>
        <w:t>and Article 267 TFEU should be interpreted in the same way.</w:t>
      </w:r>
      <w:r w:rsidR="007E441A">
        <w:rPr>
          <w:rStyle w:val="Voetnootmarkering"/>
          <w:rFonts w:ascii="Times New Roman" w:hAnsi="Times New Roman" w:cs="Times New Roman"/>
          <w:sz w:val="24"/>
          <w:szCs w:val="24"/>
          <w:lang w:val="en-GB"/>
        </w:rPr>
        <w:footnoteReference w:id="82"/>
      </w:r>
      <w:r w:rsidR="00CB249F">
        <w:rPr>
          <w:rFonts w:ascii="Times New Roman" w:hAnsi="Times New Roman" w:cs="Times New Roman"/>
          <w:sz w:val="24"/>
          <w:szCs w:val="24"/>
          <w:lang w:val="en-GB"/>
        </w:rPr>
        <w:t xml:space="preserve"> </w:t>
      </w:r>
      <w:r w:rsidR="00085855">
        <w:rPr>
          <w:rFonts w:ascii="Times New Roman" w:hAnsi="Times New Roman" w:cs="Times New Roman"/>
          <w:sz w:val="24"/>
          <w:szCs w:val="24"/>
          <w:lang w:val="en-GB"/>
        </w:rPr>
        <w:t xml:space="preserve">It can be expected that the Court will align the interpretation of the notion of </w:t>
      </w:r>
      <w:r w:rsidR="00D9554B">
        <w:rPr>
          <w:rFonts w:ascii="Times New Roman" w:hAnsi="Times New Roman" w:cs="Times New Roman"/>
          <w:sz w:val="24"/>
          <w:szCs w:val="24"/>
          <w:lang w:val="en-GB"/>
        </w:rPr>
        <w:t>‘</w:t>
      </w:r>
      <w:r w:rsidR="00085855">
        <w:rPr>
          <w:rFonts w:ascii="Times New Roman" w:hAnsi="Times New Roman" w:cs="Times New Roman"/>
          <w:sz w:val="24"/>
          <w:szCs w:val="24"/>
          <w:lang w:val="en-GB"/>
        </w:rPr>
        <w:t>establishment by law</w:t>
      </w:r>
      <w:r w:rsidR="00D9554B">
        <w:rPr>
          <w:rFonts w:ascii="Times New Roman" w:hAnsi="Times New Roman" w:cs="Times New Roman"/>
          <w:sz w:val="24"/>
          <w:szCs w:val="24"/>
          <w:lang w:val="en-GB"/>
        </w:rPr>
        <w:t>’</w:t>
      </w:r>
      <w:r w:rsidR="00085855">
        <w:rPr>
          <w:rFonts w:ascii="Times New Roman" w:hAnsi="Times New Roman" w:cs="Times New Roman"/>
          <w:sz w:val="24"/>
          <w:szCs w:val="24"/>
          <w:lang w:val="en-GB"/>
        </w:rPr>
        <w:t xml:space="preserve"> in Article 47(2) of the Charter and Article 267 TFEU in this way as well. </w:t>
      </w:r>
    </w:p>
    <w:p w14:paraId="3F9ED92C" w14:textId="7F501643" w:rsidR="00B76E35" w:rsidRDefault="00085855" w:rsidP="00DE35B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Importantly, the principles set out in </w:t>
      </w:r>
      <w:r w:rsidR="00E324B4">
        <w:rPr>
          <w:rFonts w:ascii="Times New Roman" w:hAnsi="Times New Roman" w:cs="Times New Roman"/>
          <w:i/>
          <w:sz w:val="24"/>
          <w:szCs w:val="24"/>
          <w:lang w:val="en-GB"/>
        </w:rPr>
        <w:t>Review</w:t>
      </w:r>
      <w:r>
        <w:rPr>
          <w:rFonts w:ascii="Times New Roman" w:hAnsi="Times New Roman" w:cs="Times New Roman"/>
          <w:i/>
          <w:sz w:val="24"/>
          <w:szCs w:val="24"/>
          <w:lang w:val="en-GB"/>
        </w:rPr>
        <w:t xml:space="preserve"> Simpson</w:t>
      </w:r>
      <w:r>
        <w:rPr>
          <w:rFonts w:ascii="Times New Roman" w:hAnsi="Times New Roman" w:cs="Times New Roman"/>
          <w:sz w:val="24"/>
          <w:szCs w:val="24"/>
          <w:lang w:val="en-GB"/>
        </w:rPr>
        <w:t xml:space="preserve"> also allow the Commission to act when Member States violate the right to a tribunal established by law. The Commission can now </w:t>
      </w:r>
      <w:r w:rsidR="00A9084F">
        <w:rPr>
          <w:rFonts w:ascii="Times New Roman" w:hAnsi="Times New Roman" w:cs="Times New Roman"/>
          <w:sz w:val="24"/>
          <w:szCs w:val="24"/>
          <w:lang w:val="en-GB"/>
        </w:rPr>
        <w:t>initiate</w:t>
      </w:r>
      <w:r>
        <w:rPr>
          <w:rFonts w:ascii="Times New Roman" w:hAnsi="Times New Roman" w:cs="Times New Roman"/>
          <w:sz w:val="24"/>
          <w:szCs w:val="24"/>
          <w:lang w:val="en-GB"/>
        </w:rPr>
        <w:t xml:space="preserve"> infringement proceedings on the ground of Article 47 of the Charter </w:t>
      </w:r>
      <w:r w:rsidR="000A37FB">
        <w:rPr>
          <w:rFonts w:ascii="Times New Roman" w:hAnsi="Times New Roman" w:cs="Times New Roman"/>
          <w:sz w:val="24"/>
          <w:szCs w:val="24"/>
          <w:lang w:val="en-GB"/>
        </w:rPr>
        <w:t xml:space="preserve">– </w:t>
      </w:r>
      <w:r>
        <w:rPr>
          <w:rFonts w:ascii="Times New Roman" w:hAnsi="Times New Roman" w:cs="Times New Roman"/>
          <w:sz w:val="24"/>
          <w:szCs w:val="24"/>
          <w:lang w:val="en-GB"/>
        </w:rPr>
        <w:t>and possibly Article 19(1)(2) TEU</w:t>
      </w:r>
      <w:r w:rsidR="000A37F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when domestic tribunals </w:t>
      </w:r>
      <w:r w:rsidR="00A9084F">
        <w:rPr>
          <w:rFonts w:ascii="Times New Roman" w:hAnsi="Times New Roman" w:cs="Times New Roman"/>
          <w:sz w:val="24"/>
          <w:szCs w:val="24"/>
          <w:lang w:val="en-GB"/>
        </w:rPr>
        <w:t xml:space="preserve">are composed of one or more judges who have been appointed in violation of the principles that the Court has set out. Granted, the Commission may not initiate infringement proceedings based on the alleged unlawful composition of just any domestic court. </w:t>
      </w:r>
      <w:r w:rsidR="00B76E35">
        <w:rPr>
          <w:rFonts w:ascii="Times New Roman" w:hAnsi="Times New Roman" w:cs="Times New Roman"/>
          <w:sz w:val="24"/>
          <w:szCs w:val="24"/>
          <w:lang w:val="en-GB"/>
        </w:rPr>
        <w:t>Nonetheless</w:t>
      </w:r>
      <w:r w:rsidR="00A9084F">
        <w:rPr>
          <w:rFonts w:ascii="Times New Roman" w:hAnsi="Times New Roman" w:cs="Times New Roman"/>
          <w:sz w:val="24"/>
          <w:szCs w:val="24"/>
          <w:lang w:val="en-GB"/>
        </w:rPr>
        <w:t>, this judgment might empower the Commission to initiate such proceedings in some important or high-profile cases. In this regard, one could think of the Polish Constitutional Court, which for several years now has</w:t>
      </w:r>
      <w:r w:rsidR="00107CDA">
        <w:rPr>
          <w:rFonts w:ascii="Times New Roman" w:hAnsi="Times New Roman" w:cs="Times New Roman"/>
          <w:sz w:val="24"/>
          <w:szCs w:val="24"/>
          <w:lang w:val="en-GB"/>
        </w:rPr>
        <w:t xml:space="preserve"> partly</w:t>
      </w:r>
      <w:r w:rsidR="00A9084F">
        <w:rPr>
          <w:rFonts w:ascii="Times New Roman" w:hAnsi="Times New Roman" w:cs="Times New Roman"/>
          <w:sz w:val="24"/>
          <w:szCs w:val="24"/>
          <w:lang w:val="en-GB"/>
        </w:rPr>
        <w:t xml:space="preserve"> been composed of judges whose appointment was questionable to say the least.</w:t>
      </w:r>
      <w:r w:rsidR="00A9084F">
        <w:rPr>
          <w:rStyle w:val="Voetnootmarkering"/>
          <w:rFonts w:ascii="Times New Roman" w:hAnsi="Times New Roman" w:cs="Times New Roman"/>
          <w:sz w:val="24"/>
          <w:szCs w:val="24"/>
          <w:lang w:val="en-GB"/>
        </w:rPr>
        <w:footnoteReference w:id="83"/>
      </w:r>
    </w:p>
    <w:p w14:paraId="259BD2D1" w14:textId="6891D60B" w:rsidR="0032197E" w:rsidRPr="000423F8" w:rsidRDefault="0032197E" w:rsidP="00DE35BB">
      <w:pPr>
        <w:jc w:val="both"/>
        <w:rPr>
          <w:lang w:val="en-GB"/>
        </w:rPr>
      </w:pPr>
      <w:r w:rsidRPr="008923D6">
        <w:rPr>
          <w:rFonts w:ascii="Times New Roman" w:hAnsi="Times New Roman" w:cs="Times New Roman"/>
          <w:sz w:val="24"/>
          <w:szCs w:val="24"/>
          <w:lang w:val="en-GB"/>
        </w:rPr>
        <w:t>Th</w:t>
      </w:r>
      <w:r w:rsidR="008923D6" w:rsidRPr="008923D6">
        <w:rPr>
          <w:rFonts w:ascii="Times New Roman" w:hAnsi="Times New Roman" w:cs="Times New Roman"/>
          <w:sz w:val="24"/>
          <w:szCs w:val="24"/>
          <w:lang w:val="en-GB"/>
        </w:rPr>
        <w:t>is brings me to one final point: the</w:t>
      </w:r>
      <w:r w:rsidR="008923D6">
        <w:rPr>
          <w:rFonts w:ascii="Times New Roman" w:hAnsi="Times New Roman" w:cs="Times New Roman"/>
          <w:sz w:val="24"/>
          <w:szCs w:val="24"/>
          <w:lang w:val="en-GB"/>
        </w:rPr>
        <w:t xml:space="preserve"> enforcement of the principles set forth in this judgment. The Court held in </w:t>
      </w:r>
      <w:r w:rsidR="008923D6">
        <w:rPr>
          <w:rFonts w:ascii="Times New Roman" w:hAnsi="Times New Roman" w:cs="Times New Roman"/>
          <w:i/>
          <w:sz w:val="24"/>
          <w:szCs w:val="24"/>
          <w:lang w:val="en-GB"/>
        </w:rPr>
        <w:t xml:space="preserve">Review Simpson </w:t>
      </w:r>
      <w:r w:rsidR="008923D6">
        <w:rPr>
          <w:rFonts w:ascii="Times New Roman" w:hAnsi="Times New Roman" w:cs="Times New Roman"/>
          <w:sz w:val="24"/>
          <w:szCs w:val="24"/>
          <w:lang w:val="en-GB"/>
        </w:rPr>
        <w:t xml:space="preserve">that the check whether a tribunal is established by law is a matter of public policy and must be verified </w:t>
      </w:r>
      <w:r w:rsidR="004977F3">
        <w:rPr>
          <w:rFonts w:ascii="Times New Roman" w:hAnsi="Times New Roman" w:cs="Times New Roman"/>
          <w:sz w:val="24"/>
          <w:szCs w:val="24"/>
          <w:lang w:val="en-GB"/>
        </w:rPr>
        <w:t>by the domestic court of it</w:t>
      </w:r>
      <w:r w:rsidR="008923D6">
        <w:rPr>
          <w:rFonts w:ascii="Times New Roman" w:hAnsi="Times New Roman" w:cs="Times New Roman"/>
          <w:sz w:val="24"/>
          <w:szCs w:val="24"/>
          <w:lang w:val="en-GB"/>
        </w:rPr>
        <w:t>s own motion.</w:t>
      </w:r>
      <w:r w:rsidR="008923D6">
        <w:rPr>
          <w:rStyle w:val="Voetnootmarkering"/>
          <w:rFonts w:ascii="Times New Roman" w:hAnsi="Times New Roman" w:cs="Times New Roman"/>
          <w:sz w:val="24"/>
          <w:szCs w:val="24"/>
          <w:lang w:val="en-GB"/>
        </w:rPr>
        <w:footnoteReference w:id="84"/>
      </w:r>
      <w:r w:rsidR="008923D6">
        <w:rPr>
          <w:rFonts w:ascii="Times New Roman" w:hAnsi="Times New Roman" w:cs="Times New Roman"/>
          <w:sz w:val="24"/>
          <w:szCs w:val="24"/>
          <w:lang w:val="en-GB"/>
        </w:rPr>
        <w:t xml:space="preserve"> The </w:t>
      </w:r>
      <w:r w:rsidR="00234560">
        <w:rPr>
          <w:rFonts w:ascii="Times New Roman" w:hAnsi="Times New Roman" w:cs="Times New Roman"/>
          <w:sz w:val="24"/>
          <w:szCs w:val="24"/>
          <w:lang w:val="en-GB"/>
        </w:rPr>
        <w:t>main</w:t>
      </w:r>
      <w:r w:rsidR="008923D6">
        <w:rPr>
          <w:rFonts w:ascii="Times New Roman" w:hAnsi="Times New Roman" w:cs="Times New Roman"/>
          <w:sz w:val="24"/>
          <w:szCs w:val="24"/>
          <w:lang w:val="en-GB"/>
        </w:rPr>
        <w:t xml:space="preserve"> responsibility for the compliance with this principle thus rests on the domestic court in question</w:t>
      </w:r>
      <w:r w:rsidR="00234560">
        <w:rPr>
          <w:rFonts w:ascii="Times New Roman" w:hAnsi="Times New Roman" w:cs="Times New Roman"/>
          <w:sz w:val="24"/>
          <w:szCs w:val="24"/>
          <w:lang w:val="en-GB"/>
        </w:rPr>
        <w:t xml:space="preserve">, if need be with the </w:t>
      </w:r>
      <w:r w:rsidR="008E52A5">
        <w:rPr>
          <w:rFonts w:ascii="Times New Roman" w:hAnsi="Times New Roman" w:cs="Times New Roman"/>
          <w:sz w:val="24"/>
          <w:szCs w:val="24"/>
          <w:lang w:val="en-GB"/>
        </w:rPr>
        <w:t>guidance</w:t>
      </w:r>
      <w:r w:rsidR="00234560">
        <w:rPr>
          <w:rFonts w:ascii="Times New Roman" w:hAnsi="Times New Roman" w:cs="Times New Roman"/>
          <w:sz w:val="24"/>
          <w:szCs w:val="24"/>
          <w:lang w:val="en-GB"/>
        </w:rPr>
        <w:t xml:space="preserve"> of the ECJ via a preliminary reference</w:t>
      </w:r>
      <w:r w:rsidR="008923D6">
        <w:rPr>
          <w:rFonts w:ascii="Times New Roman" w:hAnsi="Times New Roman" w:cs="Times New Roman"/>
          <w:sz w:val="24"/>
          <w:szCs w:val="24"/>
          <w:lang w:val="en-GB"/>
        </w:rPr>
        <w:t xml:space="preserve">. </w:t>
      </w:r>
      <w:r w:rsidR="004977F3">
        <w:rPr>
          <w:rFonts w:ascii="Times New Roman" w:hAnsi="Times New Roman" w:cs="Times New Roman"/>
          <w:sz w:val="24"/>
          <w:szCs w:val="24"/>
          <w:lang w:val="en-GB"/>
        </w:rPr>
        <w:t>Alternatively, an appeal court</w:t>
      </w:r>
      <w:r w:rsidR="008E52A5">
        <w:rPr>
          <w:rFonts w:ascii="Times New Roman" w:hAnsi="Times New Roman" w:cs="Times New Roman"/>
          <w:sz w:val="24"/>
          <w:szCs w:val="24"/>
          <w:lang w:val="en-GB"/>
        </w:rPr>
        <w:t xml:space="preserve"> can rely on the principles of </w:t>
      </w:r>
      <w:r w:rsidR="008E52A5">
        <w:rPr>
          <w:rFonts w:ascii="Times New Roman" w:hAnsi="Times New Roman" w:cs="Times New Roman"/>
          <w:i/>
          <w:sz w:val="24"/>
          <w:szCs w:val="24"/>
          <w:lang w:val="en-GB"/>
        </w:rPr>
        <w:t>Review Simpson</w:t>
      </w:r>
      <w:r w:rsidR="008E52A5">
        <w:rPr>
          <w:rFonts w:ascii="Times New Roman" w:hAnsi="Times New Roman" w:cs="Times New Roman"/>
          <w:sz w:val="24"/>
          <w:szCs w:val="24"/>
          <w:lang w:val="en-GB"/>
        </w:rPr>
        <w:t xml:space="preserve"> in order to verify whether a lower court was established by law. </w:t>
      </w:r>
      <w:r w:rsidR="008923D6">
        <w:rPr>
          <w:rFonts w:ascii="Times New Roman" w:hAnsi="Times New Roman" w:cs="Times New Roman"/>
          <w:sz w:val="24"/>
          <w:szCs w:val="24"/>
          <w:lang w:val="en-GB"/>
        </w:rPr>
        <w:t xml:space="preserve">As such, the </w:t>
      </w:r>
      <w:r w:rsidR="004977F3">
        <w:rPr>
          <w:rFonts w:ascii="Times New Roman" w:hAnsi="Times New Roman" w:cs="Times New Roman"/>
          <w:sz w:val="24"/>
          <w:szCs w:val="24"/>
          <w:lang w:val="en-GB"/>
        </w:rPr>
        <w:t>ECJ</w:t>
      </w:r>
      <w:r w:rsidR="008923D6">
        <w:rPr>
          <w:rFonts w:ascii="Times New Roman" w:hAnsi="Times New Roman" w:cs="Times New Roman"/>
          <w:sz w:val="24"/>
          <w:szCs w:val="24"/>
          <w:lang w:val="en-GB"/>
        </w:rPr>
        <w:t xml:space="preserve"> relies </w:t>
      </w:r>
      <w:r w:rsidR="00234560">
        <w:rPr>
          <w:rFonts w:ascii="Times New Roman" w:hAnsi="Times New Roman" w:cs="Times New Roman"/>
          <w:sz w:val="24"/>
          <w:szCs w:val="24"/>
          <w:lang w:val="en-GB"/>
        </w:rPr>
        <w:t xml:space="preserve">primarily </w:t>
      </w:r>
      <w:r w:rsidR="008923D6">
        <w:rPr>
          <w:rFonts w:ascii="Times New Roman" w:hAnsi="Times New Roman" w:cs="Times New Roman"/>
          <w:sz w:val="24"/>
          <w:szCs w:val="24"/>
          <w:lang w:val="en-GB"/>
        </w:rPr>
        <w:t xml:space="preserve">on the self-regulation by the domestic judiciary. </w:t>
      </w:r>
      <w:r w:rsidR="00493C20">
        <w:rPr>
          <w:rFonts w:ascii="Times New Roman" w:hAnsi="Times New Roman" w:cs="Times New Roman"/>
          <w:sz w:val="24"/>
          <w:szCs w:val="24"/>
          <w:lang w:val="en-GB"/>
        </w:rPr>
        <w:t>However, one can wonder whether these principles</w:t>
      </w:r>
      <w:r w:rsidR="004977F3">
        <w:rPr>
          <w:rFonts w:ascii="Times New Roman" w:hAnsi="Times New Roman" w:cs="Times New Roman"/>
          <w:sz w:val="24"/>
          <w:szCs w:val="24"/>
          <w:lang w:val="en-GB"/>
        </w:rPr>
        <w:t xml:space="preserve"> can effectively be enforced for, for instance,</w:t>
      </w:r>
      <w:r w:rsidR="00493C20">
        <w:rPr>
          <w:rFonts w:ascii="Times New Roman" w:hAnsi="Times New Roman" w:cs="Times New Roman"/>
          <w:sz w:val="24"/>
          <w:szCs w:val="24"/>
          <w:lang w:val="en-GB"/>
        </w:rPr>
        <w:t xml:space="preserve"> supreme courts or courts that are completely biased in their composition, for example in an illiberal regime. A system that relies on self-regulation would appear to be of limited avail in such circumstances. </w:t>
      </w:r>
      <w:r w:rsidR="00842D1C">
        <w:rPr>
          <w:rFonts w:ascii="Times New Roman" w:hAnsi="Times New Roman" w:cs="Times New Roman"/>
          <w:sz w:val="24"/>
          <w:szCs w:val="24"/>
          <w:lang w:val="en-GB"/>
        </w:rPr>
        <w:t>In general</w:t>
      </w:r>
      <w:r w:rsidR="00493C20">
        <w:rPr>
          <w:rFonts w:ascii="Times New Roman" w:hAnsi="Times New Roman" w:cs="Times New Roman"/>
          <w:sz w:val="24"/>
          <w:szCs w:val="24"/>
          <w:lang w:val="en-GB"/>
        </w:rPr>
        <w:t xml:space="preserve">, the </w:t>
      </w:r>
      <w:r w:rsidR="000423F8">
        <w:rPr>
          <w:rFonts w:ascii="Times New Roman" w:hAnsi="Times New Roman" w:cs="Times New Roman"/>
          <w:sz w:val="24"/>
          <w:szCs w:val="24"/>
          <w:lang w:val="en-GB"/>
        </w:rPr>
        <w:t xml:space="preserve">effective </w:t>
      </w:r>
      <w:r w:rsidR="00493C20">
        <w:rPr>
          <w:rFonts w:ascii="Times New Roman" w:hAnsi="Times New Roman" w:cs="Times New Roman"/>
          <w:sz w:val="24"/>
          <w:szCs w:val="24"/>
          <w:lang w:val="en-GB"/>
        </w:rPr>
        <w:t xml:space="preserve">enforcement of the principles set forth in </w:t>
      </w:r>
      <w:r w:rsidR="00493C20">
        <w:rPr>
          <w:rFonts w:ascii="Times New Roman" w:hAnsi="Times New Roman" w:cs="Times New Roman"/>
          <w:i/>
          <w:sz w:val="24"/>
          <w:szCs w:val="24"/>
          <w:lang w:val="en-GB"/>
        </w:rPr>
        <w:t>Review Simpson</w:t>
      </w:r>
      <w:r w:rsidR="00493C20">
        <w:rPr>
          <w:rFonts w:ascii="Times New Roman" w:hAnsi="Times New Roman" w:cs="Times New Roman"/>
          <w:sz w:val="24"/>
          <w:szCs w:val="24"/>
          <w:lang w:val="en-GB"/>
        </w:rPr>
        <w:t xml:space="preserve"> may </w:t>
      </w:r>
      <w:r w:rsidR="00842D1C">
        <w:rPr>
          <w:rFonts w:ascii="Times New Roman" w:hAnsi="Times New Roman" w:cs="Times New Roman"/>
          <w:sz w:val="24"/>
          <w:szCs w:val="24"/>
          <w:lang w:val="en-GB"/>
        </w:rPr>
        <w:t>prove most difficult for those courts that require it most. In such circumstances, the question arises as to the enforcement by external actors. I see two possibilities here. First, as was noted above, the Commission may initiate infringement proceeding</w:t>
      </w:r>
      <w:r w:rsidR="004977F3">
        <w:rPr>
          <w:rFonts w:ascii="Times New Roman" w:hAnsi="Times New Roman" w:cs="Times New Roman"/>
          <w:sz w:val="24"/>
          <w:szCs w:val="24"/>
          <w:lang w:val="en-GB"/>
        </w:rPr>
        <w:t>s</w:t>
      </w:r>
      <w:r w:rsidR="00842D1C">
        <w:rPr>
          <w:rFonts w:ascii="Times New Roman" w:hAnsi="Times New Roman" w:cs="Times New Roman"/>
          <w:sz w:val="24"/>
          <w:szCs w:val="24"/>
          <w:lang w:val="en-GB"/>
        </w:rPr>
        <w:t xml:space="preserve"> for an allegedly unlawfully established tribunal. However, it was mentioned as well that it is not likely that the Commission will initiate such proceedings in all </w:t>
      </w:r>
      <w:r w:rsidR="000423F8">
        <w:rPr>
          <w:rFonts w:ascii="Times New Roman" w:hAnsi="Times New Roman" w:cs="Times New Roman"/>
          <w:sz w:val="24"/>
          <w:szCs w:val="24"/>
          <w:lang w:val="en-GB"/>
        </w:rPr>
        <w:t>possible cases</w:t>
      </w:r>
      <w:r w:rsidR="00842D1C">
        <w:rPr>
          <w:rFonts w:ascii="Times New Roman" w:hAnsi="Times New Roman" w:cs="Times New Roman"/>
          <w:sz w:val="24"/>
          <w:szCs w:val="24"/>
          <w:lang w:val="en-GB"/>
        </w:rPr>
        <w:t xml:space="preserve">. </w:t>
      </w:r>
      <w:r w:rsidR="000423F8">
        <w:rPr>
          <w:rFonts w:ascii="Times New Roman" w:hAnsi="Times New Roman" w:cs="Times New Roman"/>
          <w:sz w:val="24"/>
          <w:szCs w:val="24"/>
          <w:lang w:val="en-GB"/>
        </w:rPr>
        <w:t xml:space="preserve">A </w:t>
      </w:r>
      <w:r w:rsidR="008E52A5">
        <w:rPr>
          <w:rFonts w:ascii="Times New Roman" w:hAnsi="Times New Roman" w:cs="Times New Roman"/>
          <w:sz w:val="24"/>
          <w:szCs w:val="24"/>
          <w:lang w:val="en-GB"/>
        </w:rPr>
        <w:t xml:space="preserve">second, complementary avenue </w:t>
      </w:r>
      <w:r w:rsidR="000423F8">
        <w:rPr>
          <w:rFonts w:ascii="Times New Roman" w:hAnsi="Times New Roman" w:cs="Times New Roman"/>
          <w:sz w:val="24"/>
          <w:szCs w:val="24"/>
          <w:lang w:val="en-GB"/>
        </w:rPr>
        <w:t xml:space="preserve">may be found in the earlier judgment of </w:t>
      </w:r>
      <w:r w:rsidR="000423F8">
        <w:rPr>
          <w:rFonts w:ascii="Times New Roman" w:hAnsi="Times New Roman" w:cs="Times New Roman"/>
          <w:i/>
          <w:sz w:val="24"/>
          <w:szCs w:val="24"/>
          <w:lang w:val="en-GB"/>
        </w:rPr>
        <w:t>A. K., CP and DO</w:t>
      </w:r>
      <w:r w:rsidR="000423F8">
        <w:rPr>
          <w:rFonts w:ascii="Times New Roman" w:hAnsi="Times New Roman" w:cs="Times New Roman"/>
          <w:sz w:val="24"/>
          <w:szCs w:val="24"/>
          <w:lang w:val="en-GB"/>
        </w:rPr>
        <w:t xml:space="preserve">. In this judgment, the Court held that a domestic court </w:t>
      </w:r>
      <w:r w:rsidR="0056204D">
        <w:rPr>
          <w:rFonts w:ascii="Times New Roman" w:hAnsi="Times New Roman" w:cs="Times New Roman"/>
          <w:sz w:val="24"/>
          <w:szCs w:val="24"/>
          <w:lang w:val="en-GB"/>
        </w:rPr>
        <w:t>may be</w:t>
      </w:r>
      <w:r w:rsidR="000423F8">
        <w:rPr>
          <w:rFonts w:ascii="Times New Roman" w:hAnsi="Times New Roman" w:cs="Times New Roman"/>
          <w:sz w:val="24"/>
          <w:szCs w:val="24"/>
          <w:lang w:val="en-GB"/>
        </w:rPr>
        <w:t xml:space="preserve"> required to </w:t>
      </w:r>
      <w:r w:rsidR="004977F3">
        <w:rPr>
          <w:rFonts w:ascii="Times New Roman" w:hAnsi="Times New Roman" w:cs="Times New Roman"/>
          <w:sz w:val="24"/>
          <w:szCs w:val="24"/>
          <w:lang w:val="en-GB"/>
        </w:rPr>
        <w:t>dis</w:t>
      </w:r>
      <w:r w:rsidR="0056204D">
        <w:rPr>
          <w:rFonts w:ascii="Times New Roman" w:hAnsi="Times New Roman" w:cs="Times New Roman"/>
          <w:sz w:val="24"/>
          <w:szCs w:val="24"/>
          <w:lang w:val="en-GB"/>
        </w:rPr>
        <w:t>ap</w:t>
      </w:r>
      <w:r w:rsidR="004977F3">
        <w:rPr>
          <w:rFonts w:ascii="Times New Roman" w:hAnsi="Times New Roman" w:cs="Times New Roman"/>
          <w:sz w:val="24"/>
          <w:szCs w:val="24"/>
          <w:lang w:val="en-GB"/>
        </w:rPr>
        <w:t>p</w:t>
      </w:r>
      <w:r w:rsidR="0056204D">
        <w:rPr>
          <w:rFonts w:ascii="Times New Roman" w:hAnsi="Times New Roman" w:cs="Times New Roman"/>
          <w:sz w:val="24"/>
          <w:szCs w:val="24"/>
          <w:lang w:val="en-GB"/>
        </w:rPr>
        <w:t xml:space="preserve">ly national competence legislation and to assume jurisdiction itself if it concludes that the court which </w:t>
      </w:r>
      <w:r w:rsidR="0056204D">
        <w:rPr>
          <w:rFonts w:ascii="Times New Roman" w:hAnsi="Times New Roman" w:cs="Times New Roman"/>
          <w:sz w:val="24"/>
          <w:szCs w:val="24"/>
          <w:lang w:val="en-GB"/>
        </w:rPr>
        <w:lastRenderedPageBreak/>
        <w:t>would ordinarily have jurisdiction cannot be seen as independent.</w:t>
      </w:r>
      <w:r w:rsidR="00BC2342">
        <w:rPr>
          <w:rStyle w:val="Voetnootmarkering"/>
          <w:rFonts w:ascii="Times New Roman" w:hAnsi="Times New Roman" w:cs="Times New Roman"/>
          <w:sz w:val="24"/>
          <w:szCs w:val="24"/>
          <w:lang w:val="en-GB"/>
        </w:rPr>
        <w:footnoteReference w:id="85"/>
      </w:r>
      <w:r w:rsidR="0056204D">
        <w:rPr>
          <w:rFonts w:ascii="Times New Roman" w:hAnsi="Times New Roman" w:cs="Times New Roman"/>
          <w:sz w:val="24"/>
          <w:szCs w:val="24"/>
          <w:lang w:val="en-GB"/>
        </w:rPr>
        <w:t xml:space="preserve"> One could ask if the same mechanism might apply with the right to a tribunal established by law. Can an individual bring a case before a court and ask it to verify whether the court that would ordinarily have jurisdiction over that case is</w:t>
      </w:r>
      <w:r w:rsidR="008E52A5">
        <w:rPr>
          <w:rFonts w:ascii="Times New Roman" w:hAnsi="Times New Roman" w:cs="Times New Roman"/>
          <w:sz w:val="24"/>
          <w:szCs w:val="24"/>
          <w:lang w:val="en-GB"/>
        </w:rPr>
        <w:t xml:space="preserve"> duly</w:t>
      </w:r>
      <w:r w:rsidR="0056204D">
        <w:rPr>
          <w:rFonts w:ascii="Times New Roman" w:hAnsi="Times New Roman" w:cs="Times New Roman"/>
          <w:sz w:val="24"/>
          <w:szCs w:val="24"/>
          <w:lang w:val="en-GB"/>
        </w:rPr>
        <w:t xml:space="preserve"> established by law, and to assume jurisdiction itself when that verification turns out negative? The</w:t>
      </w:r>
      <w:r w:rsidR="008E52A5">
        <w:rPr>
          <w:rFonts w:ascii="Times New Roman" w:hAnsi="Times New Roman" w:cs="Times New Roman"/>
          <w:sz w:val="24"/>
          <w:szCs w:val="24"/>
          <w:lang w:val="en-GB"/>
        </w:rPr>
        <w:t xml:space="preserve"> Court’s interpretation of Article 47 of the Charter in </w:t>
      </w:r>
      <w:r w:rsidR="008E52A5">
        <w:rPr>
          <w:rFonts w:ascii="Times New Roman" w:hAnsi="Times New Roman" w:cs="Times New Roman"/>
          <w:i/>
          <w:sz w:val="24"/>
          <w:szCs w:val="24"/>
          <w:lang w:val="en-GB"/>
        </w:rPr>
        <w:t>Review Simpson</w:t>
      </w:r>
      <w:r w:rsidR="008E52A5">
        <w:rPr>
          <w:rFonts w:ascii="Times New Roman" w:hAnsi="Times New Roman" w:cs="Times New Roman"/>
          <w:sz w:val="24"/>
          <w:szCs w:val="24"/>
          <w:lang w:val="en-GB"/>
        </w:rPr>
        <w:t>, combined with the</w:t>
      </w:r>
      <w:r w:rsidR="0056204D">
        <w:rPr>
          <w:rFonts w:ascii="Times New Roman" w:hAnsi="Times New Roman" w:cs="Times New Roman"/>
          <w:sz w:val="24"/>
          <w:szCs w:val="24"/>
          <w:lang w:val="en-GB"/>
        </w:rPr>
        <w:t xml:space="preserve"> general wording of the </w:t>
      </w:r>
      <w:r w:rsidR="0056204D">
        <w:rPr>
          <w:rFonts w:ascii="Times New Roman" w:hAnsi="Times New Roman" w:cs="Times New Roman"/>
          <w:i/>
          <w:sz w:val="24"/>
          <w:szCs w:val="24"/>
          <w:lang w:val="en-GB"/>
        </w:rPr>
        <w:t xml:space="preserve">A. K., CP and DO </w:t>
      </w:r>
      <w:r w:rsidR="0056204D">
        <w:rPr>
          <w:rFonts w:ascii="Times New Roman" w:hAnsi="Times New Roman" w:cs="Times New Roman"/>
          <w:sz w:val="24"/>
          <w:szCs w:val="24"/>
          <w:lang w:val="en-GB"/>
        </w:rPr>
        <w:t>judgment would support such an interpretation.</w:t>
      </w:r>
      <w:r w:rsidR="00BC2342">
        <w:rPr>
          <w:rStyle w:val="Voetnootmarkering"/>
          <w:rFonts w:ascii="Times New Roman" w:hAnsi="Times New Roman" w:cs="Times New Roman"/>
          <w:sz w:val="24"/>
          <w:szCs w:val="24"/>
          <w:lang w:val="en-GB"/>
        </w:rPr>
        <w:footnoteReference w:id="86"/>
      </w:r>
      <w:r w:rsidR="0056204D">
        <w:rPr>
          <w:rFonts w:ascii="Times New Roman" w:hAnsi="Times New Roman" w:cs="Times New Roman"/>
          <w:sz w:val="24"/>
          <w:szCs w:val="24"/>
          <w:lang w:val="en-GB"/>
        </w:rPr>
        <w:t xml:space="preserve"> </w:t>
      </w:r>
      <w:r w:rsidR="00BC2342">
        <w:rPr>
          <w:rFonts w:ascii="Times New Roman" w:hAnsi="Times New Roman" w:cs="Times New Roman"/>
          <w:sz w:val="24"/>
          <w:szCs w:val="24"/>
          <w:lang w:val="en-GB"/>
        </w:rPr>
        <w:t xml:space="preserve">Such an incidental review of </w:t>
      </w:r>
      <w:r w:rsidR="006F582F">
        <w:rPr>
          <w:rFonts w:ascii="Times New Roman" w:hAnsi="Times New Roman" w:cs="Times New Roman"/>
          <w:sz w:val="24"/>
          <w:szCs w:val="24"/>
          <w:lang w:val="en-GB"/>
        </w:rPr>
        <w:t>a court’s</w:t>
      </w:r>
      <w:r w:rsidR="00BC2342">
        <w:rPr>
          <w:rFonts w:ascii="Times New Roman" w:hAnsi="Times New Roman" w:cs="Times New Roman"/>
          <w:sz w:val="24"/>
          <w:szCs w:val="24"/>
          <w:lang w:val="en-GB"/>
        </w:rPr>
        <w:t xml:space="preserve"> lawful establishment would offer an alternative avenue to safeguard an individual’s right to a tribunal established by law. </w:t>
      </w:r>
      <w:r w:rsidR="009F0841">
        <w:rPr>
          <w:rFonts w:ascii="Times New Roman" w:hAnsi="Times New Roman" w:cs="Times New Roman"/>
          <w:sz w:val="24"/>
          <w:szCs w:val="24"/>
          <w:lang w:val="en-GB"/>
        </w:rPr>
        <w:t xml:space="preserve">It </w:t>
      </w:r>
      <w:r w:rsidR="00803152">
        <w:rPr>
          <w:rFonts w:ascii="Times New Roman" w:hAnsi="Times New Roman" w:cs="Times New Roman"/>
          <w:sz w:val="24"/>
          <w:szCs w:val="24"/>
          <w:lang w:val="en-GB"/>
        </w:rPr>
        <w:t>can be expected that</w:t>
      </w:r>
      <w:r w:rsidR="009F0841">
        <w:rPr>
          <w:rFonts w:ascii="Times New Roman" w:hAnsi="Times New Roman" w:cs="Times New Roman"/>
          <w:sz w:val="24"/>
          <w:szCs w:val="24"/>
          <w:lang w:val="en-GB"/>
        </w:rPr>
        <w:t xml:space="preserve"> the Court </w:t>
      </w:r>
      <w:r w:rsidR="006F582F">
        <w:rPr>
          <w:rFonts w:ascii="Times New Roman" w:hAnsi="Times New Roman" w:cs="Times New Roman"/>
          <w:sz w:val="24"/>
          <w:szCs w:val="24"/>
          <w:lang w:val="en-GB"/>
        </w:rPr>
        <w:t>will</w:t>
      </w:r>
      <w:r w:rsidR="00803152">
        <w:rPr>
          <w:rFonts w:ascii="Times New Roman" w:hAnsi="Times New Roman" w:cs="Times New Roman"/>
          <w:sz w:val="24"/>
          <w:szCs w:val="24"/>
          <w:lang w:val="en-GB"/>
        </w:rPr>
        <w:t xml:space="preserve"> be asked</w:t>
      </w:r>
      <w:r w:rsidR="009F0841">
        <w:rPr>
          <w:rFonts w:ascii="Times New Roman" w:hAnsi="Times New Roman" w:cs="Times New Roman"/>
          <w:sz w:val="24"/>
          <w:szCs w:val="24"/>
          <w:lang w:val="en-GB"/>
        </w:rPr>
        <w:t xml:space="preserve"> in the near future on </w:t>
      </w:r>
      <w:r w:rsidR="00420F39">
        <w:rPr>
          <w:rFonts w:ascii="Times New Roman" w:hAnsi="Times New Roman" w:cs="Times New Roman"/>
          <w:sz w:val="24"/>
          <w:szCs w:val="24"/>
          <w:lang w:val="en-GB"/>
        </w:rPr>
        <w:t>this</w:t>
      </w:r>
      <w:r w:rsidR="009F0841">
        <w:rPr>
          <w:rFonts w:ascii="Times New Roman" w:hAnsi="Times New Roman" w:cs="Times New Roman"/>
          <w:sz w:val="24"/>
          <w:szCs w:val="24"/>
          <w:lang w:val="en-GB"/>
        </w:rPr>
        <w:t xml:space="preserve"> interpretation of Article 47 of the Charter and the right to a tribunal established by law.</w:t>
      </w:r>
    </w:p>
    <w:p w14:paraId="2EA6F764" w14:textId="21786B84" w:rsidR="00C91B5E" w:rsidRDefault="006E3B01" w:rsidP="00C91B5E">
      <w:pPr>
        <w:pStyle w:val="Lijstalinea"/>
        <w:numPr>
          <w:ilvl w:val="1"/>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Remaining questions</w:t>
      </w:r>
    </w:p>
    <w:p w14:paraId="38599440" w14:textId="316226D2" w:rsidR="006E3B01" w:rsidRDefault="006E3B01" w:rsidP="00ED7BE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previous section made clear that the judgment of </w:t>
      </w:r>
      <w:r>
        <w:rPr>
          <w:rFonts w:ascii="Times New Roman" w:hAnsi="Times New Roman" w:cs="Times New Roman"/>
          <w:i/>
          <w:sz w:val="24"/>
          <w:szCs w:val="24"/>
          <w:lang w:val="en-GB"/>
        </w:rPr>
        <w:t>Review Simpson</w:t>
      </w:r>
      <w:r>
        <w:rPr>
          <w:rFonts w:ascii="Times New Roman" w:hAnsi="Times New Roman" w:cs="Times New Roman"/>
          <w:sz w:val="24"/>
          <w:szCs w:val="24"/>
          <w:lang w:val="en-GB"/>
        </w:rPr>
        <w:t xml:space="preserve"> will have significant repercussions for the EU Member States. Exactly how significant is hard to say at this point, since the judgment leaves one important question unanswered. </w:t>
      </w:r>
    </w:p>
    <w:p w14:paraId="208A30CC" w14:textId="2AF28281" w:rsidR="006E3B01" w:rsidRDefault="00D9554B" w:rsidP="006E3B01">
      <w:pPr>
        <w:jc w:val="both"/>
        <w:rPr>
          <w:rFonts w:ascii="Times New Roman" w:hAnsi="Times New Roman" w:cs="Times New Roman"/>
          <w:sz w:val="24"/>
          <w:lang w:val="en-GB"/>
        </w:rPr>
      </w:pPr>
      <w:r>
        <w:rPr>
          <w:rFonts w:ascii="Times New Roman" w:hAnsi="Times New Roman" w:cs="Times New Roman"/>
          <w:sz w:val="24"/>
          <w:szCs w:val="24"/>
          <w:lang w:val="en-GB"/>
        </w:rPr>
        <w:t>Something</w:t>
      </w:r>
      <w:r w:rsidR="006E3B01">
        <w:rPr>
          <w:rFonts w:ascii="Times New Roman" w:hAnsi="Times New Roman" w:cs="Times New Roman"/>
          <w:sz w:val="24"/>
          <w:szCs w:val="24"/>
          <w:lang w:val="en-GB"/>
        </w:rPr>
        <w:t xml:space="preserve"> that has not been addressed by the Court in the </w:t>
      </w:r>
      <w:r w:rsidR="006E3B01">
        <w:rPr>
          <w:rFonts w:ascii="Times New Roman" w:hAnsi="Times New Roman" w:cs="Times New Roman"/>
          <w:i/>
          <w:sz w:val="24"/>
          <w:szCs w:val="24"/>
          <w:lang w:val="en-GB"/>
        </w:rPr>
        <w:t xml:space="preserve">Review Simpson </w:t>
      </w:r>
      <w:r w:rsidR="006E3B01">
        <w:rPr>
          <w:rFonts w:ascii="Times New Roman" w:hAnsi="Times New Roman" w:cs="Times New Roman"/>
          <w:sz w:val="24"/>
          <w:szCs w:val="24"/>
          <w:lang w:val="en-GB"/>
        </w:rPr>
        <w:t xml:space="preserve">judgment is what should happen with judgments that have been issued by courts that are later found not to be established by law. This issue was also brought up by the dissenting judges in the ECtHR’s </w:t>
      </w:r>
      <w:proofErr w:type="spellStart"/>
      <w:r w:rsidR="006E3B01" w:rsidRPr="00EA094A">
        <w:rPr>
          <w:rFonts w:ascii="Times New Roman" w:hAnsi="Times New Roman" w:cs="Times New Roman"/>
          <w:i/>
          <w:sz w:val="24"/>
          <w:lang w:val="en-GB"/>
        </w:rPr>
        <w:t>Ástráðsson</w:t>
      </w:r>
      <w:proofErr w:type="spellEnd"/>
      <w:r w:rsidR="006E3B01">
        <w:rPr>
          <w:rFonts w:ascii="Times New Roman" w:hAnsi="Times New Roman" w:cs="Times New Roman"/>
          <w:i/>
          <w:sz w:val="24"/>
          <w:lang w:val="en-GB"/>
        </w:rPr>
        <w:t xml:space="preserve"> </w:t>
      </w:r>
      <w:r w:rsidR="006E3B01">
        <w:rPr>
          <w:rFonts w:ascii="Times New Roman" w:hAnsi="Times New Roman" w:cs="Times New Roman"/>
          <w:sz w:val="24"/>
          <w:lang w:val="en-GB"/>
        </w:rPr>
        <w:t>judgment.</w:t>
      </w:r>
      <w:r w:rsidR="006E3B01">
        <w:rPr>
          <w:rStyle w:val="Voetnootmarkering"/>
          <w:rFonts w:ascii="Times New Roman" w:hAnsi="Times New Roman" w:cs="Times New Roman"/>
          <w:sz w:val="24"/>
          <w:lang w:val="en-GB"/>
        </w:rPr>
        <w:footnoteReference w:id="87"/>
      </w:r>
      <w:r w:rsidR="006E3B01">
        <w:rPr>
          <w:rFonts w:ascii="Times New Roman" w:hAnsi="Times New Roman" w:cs="Times New Roman"/>
          <w:sz w:val="24"/>
          <w:lang w:val="en-GB"/>
        </w:rPr>
        <w:t xml:space="preserve"> Despite its silence on the matter in </w:t>
      </w:r>
      <w:r w:rsidR="006E3B01">
        <w:rPr>
          <w:rFonts w:ascii="Times New Roman" w:hAnsi="Times New Roman" w:cs="Times New Roman"/>
          <w:i/>
          <w:sz w:val="24"/>
          <w:lang w:val="en-GB"/>
        </w:rPr>
        <w:t>Review Simpson</w:t>
      </w:r>
      <w:r w:rsidR="006E3B01">
        <w:rPr>
          <w:rFonts w:ascii="Times New Roman" w:hAnsi="Times New Roman" w:cs="Times New Roman"/>
          <w:sz w:val="24"/>
          <w:lang w:val="en-GB"/>
        </w:rPr>
        <w:t>, the ECJ will have to rule on this issue in the near future. The abovementioned pending cases also ask whether Article 19 TEU, read together with Article 47 of the Charter and Article 267 TFEU, should be interpreted as meaning that a judgment issued by a tribunal that is not established by law is not a judgment in the legal sense, meaning that another court may still rule on the case in question.</w:t>
      </w:r>
      <w:r w:rsidR="006E3B01">
        <w:rPr>
          <w:rStyle w:val="Voetnootmarkering"/>
          <w:rFonts w:ascii="Times New Roman" w:hAnsi="Times New Roman" w:cs="Times New Roman"/>
          <w:sz w:val="24"/>
          <w:lang w:val="en-GB"/>
        </w:rPr>
        <w:footnoteReference w:id="88"/>
      </w:r>
      <w:r w:rsidR="006E3B01">
        <w:rPr>
          <w:rFonts w:ascii="Times New Roman" w:hAnsi="Times New Roman" w:cs="Times New Roman"/>
          <w:sz w:val="24"/>
          <w:lang w:val="en-GB"/>
        </w:rPr>
        <w:t xml:space="preserve"> In this regard we must wait to see </w:t>
      </w:r>
      <w:r w:rsidR="00975333">
        <w:rPr>
          <w:rFonts w:ascii="Times New Roman" w:hAnsi="Times New Roman" w:cs="Times New Roman"/>
          <w:sz w:val="24"/>
          <w:lang w:val="en-GB"/>
        </w:rPr>
        <w:t>what balance</w:t>
      </w:r>
      <w:r w:rsidR="006E3B01">
        <w:rPr>
          <w:rFonts w:ascii="Times New Roman" w:hAnsi="Times New Roman" w:cs="Times New Roman"/>
          <w:sz w:val="24"/>
          <w:lang w:val="en-GB"/>
        </w:rPr>
        <w:t xml:space="preserve"> the Court will </w:t>
      </w:r>
      <w:r w:rsidR="00975333">
        <w:rPr>
          <w:rFonts w:ascii="Times New Roman" w:hAnsi="Times New Roman" w:cs="Times New Roman"/>
          <w:sz w:val="24"/>
          <w:lang w:val="en-GB"/>
        </w:rPr>
        <w:t xml:space="preserve">strike. Will it attach decisive weight to the importance of the right to a tribunal established by law, by deciding that all </w:t>
      </w:r>
      <w:r w:rsidR="006E3B01">
        <w:rPr>
          <w:rFonts w:ascii="Times New Roman" w:hAnsi="Times New Roman" w:cs="Times New Roman"/>
          <w:sz w:val="24"/>
          <w:lang w:val="en-GB"/>
        </w:rPr>
        <w:t xml:space="preserve">judgments issued by a court </w:t>
      </w:r>
      <w:r w:rsidR="00975333">
        <w:rPr>
          <w:rFonts w:ascii="Times New Roman" w:hAnsi="Times New Roman" w:cs="Times New Roman"/>
          <w:sz w:val="24"/>
          <w:lang w:val="en-GB"/>
        </w:rPr>
        <w:t>that does not fulfil this requirement,</w:t>
      </w:r>
      <w:r w:rsidR="006E3B01">
        <w:rPr>
          <w:rFonts w:ascii="Times New Roman" w:hAnsi="Times New Roman" w:cs="Times New Roman"/>
          <w:sz w:val="24"/>
          <w:lang w:val="en-GB"/>
        </w:rPr>
        <w:t xml:space="preserve"> should be regarded as non-existent</w:t>
      </w:r>
      <w:r w:rsidR="00975333">
        <w:rPr>
          <w:rFonts w:ascii="Times New Roman" w:hAnsi="Times New Roman" w:cs="Times New Roman"/>
          <w:sz w:val="24"/>
          <w:lang w:val="en-GB"/>
        </w:rPr>
        <w:t>?</w:t>
      </w:r>
      <w:r w:rsidR="006E3B01">
        <w:rPr>
          <w:rFonts w:ascii="Times New Roman" w:hAnsi="Times New Roman" w:cs="Times New Roman"/>
          <w:sz w:val="24"/>
          <w:lang w:val="en-GB"/>
        </w:rPr>
        <w:t xml:space="preserve"> </w:t>
      </w:r>
      <w:r w:rsidR="00975333">
        <w:rPr>
          <w:rFonts w:ascii="Times New Roman" w:hAnsi="Times New Roman" w:cs="Times New Roman"/>
          <w:sz w:val="24"/>
          <w:lang w:val="en-GB"/>
        </w:rPr>
        <w:t>O</w:t>
      </w:r>
      <w:r w:rsidR="006E3B01">
        <w:rPr>
          <w:rFonts w:ascii="Times New Roman" w:hAnsi="Times New Roman" w:cs="Times New Roman"/>
          <w:sz w:val="24"/>
          <w:lang w:val="en-GB"/>
        </w:rPr>
        <w:t>r</w:t>
      </w:r>
      <w:r w:rsidR="00975333">
        <w:rPr>
          <w:rFonts w:ascii="Times New Roman" w:hAnsi="Times New Roman" w:cs="Times New Roman"/>
          <w:sz w:val="24"/>
          <w:lang w:val="en-GB"/>
        </w:rPr>
        <w:t xml:space="preserve"> will it, by contrast, argue</w:t>
      </w:r>
      <w:r w:rsidR="006E3B01">
        <w:rPr>
          <w:rFonts w:ascii="Times New Roman" w:hAnsi="Times New Roman" w:cs="Times New Roman"/>
          <w:sz w:val="24"/>
          <w:lang w:val="en-GB"/>
        </w:rPr>
        <w:t xml:space="preserve"> that, given the relatively high threshold it has imposed in this judgment, the principle of legal certainty should prevail.</w:t>
      </w:r>
      <w:r w:rsidR="006E3B01">
        <w:rPr>
          <w:rStyle w:val="Voetnootmarkering"/>
          <w:rFonts w:ascii="Times New Roman" w:hAnsi="Times New Roman" w:cs="Times New Roman"/>
          <w:sz w:val="24"/>
          <w:lang w:val="en-GB"/>
        </w:rPr>
        <w:footnoteReference w:id="89"/>
      </w:r>
    </w:p>
    <w:p w14:paraId="6D5B2497" w14:textId="07DC4A9C" w:rsidR="00176049" w:rsidRDefault="006E3B01" w:rsidP="00ED7BED">
      <w:pPr>
        <w:jc w:val="both"/>
        <w:rPr>
          <w:rFonts w:ascii="Times New Roman" w:hAnsi="Times New Roman" w:cs="Times New Roman"/>
          <w:sz w:val="24"/>
          <w:lang w:val="en-GB"/>
        </w:rPr>
      </w:pPr>
      <w:r>
        <w:rPr>
          <w:rFonts w:ascii="Times New Roman" w:hAnsi="Times New Roman" w:cs="Times New Roman"/>
          <w:sz w:val="24"/>
          <w:szCs w:val="24"/>
          <w:lang w:val="en-GB"/>
        </w:rPr>
        <w:t xml:space="preserve">Besides this point, the judgment also raises an entirely new question. </w:t>
      </w:r>
      <w:r w:rsidR="00ED7BED">
        <w:rPr>
          <w:rFonts w:ascii="Times New Roman" w:hAnsi="Times New Roman" w:cs="Times New Roman"/>
          <w:sz w:val="24"/>
          <w:szCs w:val="24"/>
          <w:lang w:val="en-GB"/>
        </w:rPr>
        <w:t>As was mentioned above, the ju</w:t>
      </w:r>
      <w:r w:rsidR="009646A2">
        <w:rPr>
          <w:rFonts w:ascii="Times New Roman" w:hAnsi="Times New Roman" w:cs="Times New Roman"/>
          <w:sz w:val="24"/>
          <w:szCs w:val="24"/>
          <w:lang w:val="en-GB"/>
        </w:rPr>
        <w:t>d</w:t>
      </w:r>
      <w:r w:rsidR="00ED7BED">
        <w:rPr>
          <w:rFonts w:ascii="Times New Roman" w:hAnsi="Times New Roman" w:cs="Times New Roman"/>
          <w:sz w:val="24"/>
          <w:szCs w:val="24"/>
          <w:lang w:val="en-GB"/>
        </w:rPr>
        <w:t xml:space="preserve">gments in </w:t>
      </w:r>
      <w:r w:rsidR="00E324B4">
        <w:rPr>
          <w:rFonts w:ascii="Times New Roman" w:hAnsi="Times New Roman" w:cs="Times New Roman"/>
          <w:i/>
          <w:sz w:val="24"/>
          <w:szCs w:val="24"/>
          <w:lang w:val="en-GB"/>
        </w:rPr>
        <w:t>Review</w:t>
      </w:r>
      <w:r w:rsidR="00ED7BED">
        <w:rPr>
          <w:rFonts w:ascii="Times New Roman" w:hAnsi="Times New Roman" w:cs="Times New Roman"/>
          <w:i/>
          <w:sz w:val="24"/>
          <w:szCs w:val="24"/>
          <w:lang w:val="en-GB"/>
        </w:rPr>
        <w:t xml:space="preserve"> Simpson </w:t>
      </w:r>
      <w:r w:rsidR="00ED7BED">
        <w:rPr>
          <w:rFonts w:ascii="Times New Roman" w:hAnsi="Times New Roman" w:cs="Times New Roman"/>
          <w:sz w:val="24"/>
          <w:szCs w:val="24"/>
          <w:lang w:val="en-GB"/>
        </w:rPr>
        <w:t xml:space="preserve">and </w:t>
      </w:r>
      <w:proofErr w:type="spellStart"/>
      <w:r w:rsidR="00ED7BED" w:rsidRPr="00EA094A">
        <w:rPr>
          <w:rFonts w:ascii="Times New Roman" w:hAnsi="Times New Roman" w:cs="Times New Roman"/>
          <w:i/>
          <w:sz w:val="24"/>
          <w:lang w:val="en-GB"/>
        </w:rPr>
        <w:t>Ástráðsson</w:t>
      </w:r>
      <w:proofErr w:type="spellEnd"/>
      <w:r w:rsidR="00ED7BED">
        <w:rPr>
          <w:rFonts w:ascii="Times New Roman" w:hAnsi="Times New Roman" w:cs="Times New Roman"/>
          <w:sz w:val="24"/>
          <w:lang w:val="en-GB"/>
        </w:rPr>
        <w:t xml:space="preserve"> add a new dimension to the right to a tribunal established by law. As such, they broaden the scope of this fundamental right and increase the level of human rights protection in Europe. Yet, one could question if the principles that were set out in this judgment can be taken one step further still. </w:t>
      </w:r>
      <w:r w:rsidR="00DB2933">
        <w:rPr>
          <w:rFonts w:ascii="Times New Roman" w:hAnsi="Times New Roman" w:cs="Times New Roman"/>
          <w:sz w:val="24"/>
          <w:lang w:val="en-GB"/>
        </w:rPr>
        <w:t>The question arises whet</w:t>
      </w:r>
      <w:r w:rsidR="000C4292">
        <w:rPr>
          <w:rFonts w:ascii="Times New Roman" w:hAnsi="Times New Roman" w:cs="Times New Roman"/>
          <w:sz w:val="24"/>
          <w:lang w:val="en-GB"/>
        </w:rPr>
        <w:t>h</w:t>
      </w:r>
      <w:r w:rsidR="00DB2933">
        <w:rPr>
          <w:rFonts w:ascii="Times New Roman" w:hAnsi="Times New Roman" w:cs="Times New Roman"/>
          <w:sz w:val="24"/>
          <w:lang w:val="en-GB"/>
        </w:rPr>
        <w:t>er</w:t>
      </w:r>
      <w:r w:rsidR="00ED7BED">
        <w:rPr>
          <w:rFonts w:ascii="Times New Roman" w:hAnsi="Times New Roman" w:cs="Times New Roman"/>
          <w:sz w:val="24"/>
          <w:lang w:val="en-GB"/>
        </w:rPr>
        <w:t xml:space="preserve"> the irregular removal of a judge from a tribunal can also lead to the conclusion that this tribunal is </w:t>
      </w:r>
      <w:r w:rsidR="00ED7BED">
        <w:rPr>
          <w:rFonts w:ascii="Times New Roman" w:hAnsi="Times New Roman" w:cs="Times New Roman"/>
          <w:sz w:val="24"/>
          <w:lang w:val="en-GB"/>
        </w:rPr>
        <w:lastRenderedPageBreak/>
        <w:t xml:space="preserve">no longer established by law, even when the new judge who replaces him or her has been appointed in conformity with all procedural </w:t>
      </w:r>
      <w:r w:rsidR="000C4292">
        <w:rPr>
          <w:rFonts w:ascii="Times New Roman" w:hAnsi="Times New Roman" w:cs="Times New Roman"/>
          <w:sz w:val="24"/>
          <w:lang w:val="en-GB"/>
        </w:rPr>
        <w:t>requirements</w:t>
      </w:r>
      <w:r w:rsidR="00ED7BED">
        <w:rPr>
          <w:rFonts w:ascii="Times New Roman" w:hAnsi="Times New Roman" w:cs="Times New Roman"/>
          <w:sz w:val="24"/>
          <w:lang w:val="en-GB"/>
        </w:rPr>
        <w:t>. In such an understanding, the violation of the right to a tribunal established by law would not follow fr</w:t>
      </w:r>
      <w:r w:rsidR="00176049">
        <w:rPr>
          <w:rFonts w:ascii="Times New Roman" w:hAnsi="Times New Roman" w:cs="Times New Roman"/>
          <w:sz w:val="24"/>
          <w:lang w:val="en-GB"/>
        </w:rPr>
        <w:t xml:space="preserve">om any irregularities leading up to the way a judge is appointed, </w:t>
      </w:r>
      <w:r w:rsidR="00D9554B">
        <w:rPr>
          <w:rFonts w:ascii="Times New Roman" w:hAnsi="Times New Roman" w:cs="Times New Roman"/>
          <w:sz w:val="24"/>
          <w:lang w:val="en-GB"/>
        </w:rPr>
        <w:t>but rather during the procedure</w:t>
      </w:r>
      <w:r w:rsidR="00176049">
        <w:rPr>
          <w:rFonts w:ascii="Times New Roman" w:hAnsi="Times New Roman" w:cs="Times New Roman"/>
          <w:sz w:val="24"/>
          <w:lang w:val="en-GB"/>
        </w:rPr>
        <w:t xml:space="preserve"> on his or her removal</w:t>
      </w:r>
      <w:r w:rsidR="00DB2933">
        <w:rPr>
          <w:rFonts w:ascii="Times New Roman" w:hAnsi="Times New Roman" w:cs="Times New Roman"/>
          <w:sz w:val="24"/>
          <w:lang w:val="en-GB"/>
        </w:rPr>
        <w:t>.</w:t>
      </w:r>
    </w:p>
    <w:p w14:paraId="2EF80FE7" w14:textId="77777777" w:rsidR="0021198F" w:rsidRDefault="00176049" w:rsidP="00176049">
      <w:pPr>
        <w:jc w:val="both"/>
        <w:rPr>
          <w:rFonts w:ascii="Times New Roman" w:hAnsi="Times New Roman" w:cs="Times New Roman"/>
          <w:sz w:val="24"/>
          <w:lang w:val="en-GB"/>
        </w:rPr>
      </w:pPr>
      <w:r>
        <w:rPr>
          <w:rFonts w:ascii="Times New Roman" w:hAnsi="Times New Roman" w:cs="Times New Roman"/>
          <w:sz w:val="24"/>
          <w:lang w:val="en-GB"/>
        </w:rPr>
        <w:t>Such an understanding of the right to a tribunal established by law would seem to be a rather logical extension of the principles that have been set out by the ECJ and the ECtHR. The considerations by both Courts concerning the undue interference by the executive and the legislature can just as well be applied to the removal of a judge. It seems likely that either or both Courts will be confronted with this question sooner or later.</w:t>
      </w:r>
    </w:p>
    <w:p w14:paraId="414AB41E" w14:textId="337FB607" w:rsidR="00C91B5E" w:rsidRPr="00C91B5E" w:rsidRDefault="00917C76" w:rsidP="00C91B5E">
      <w:pPr>
        <w:pStyle w:val="Lijstalinea"/>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CONCLUSION</w:t>
      </w:r>
    </w:p>
    <w:p w14:paraId="3FBB217C" w14:textId="37769393" w:rsidR="00337B8E" w:rsidRDefault="00C31ACA"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Over the course of the last two years</w:t>
      </w:r>
      <w:r w:rsidR="00DB2933">
        <w:rPr>
          <w:rFonts w:ascii="Times New Roman" w:hAnsi="Times New Roman" w:cs="Times New Roman"/>
          <w:sz w:val="24"/>
          <w:szCs w:val="24"/>
          <w:lang w:val="en-GB"/>
        </w:rPr>
        <w:t>,</w:t>
      </w:r>
      <w:r>
        <w:rPr>
          <w:rFonts w:ascii="Times New Roman" w:hAnsi="Times New Roman" w:cs="Times New Roman"/>
          <w:sz w:val="24"/>
          <w:szCs w:val="24"/>
          <w:lang w:val="en-GB"/>
        </w:rPr>
        <w:t xml:space="preserve"> the General Court, the European Court of Human Rights and the European Court of Justice have</w:t>
      </w:r>
      <w:r w:rsidR="00CF30FC">
        <w:rPr>
          <w:rFonts w:ascii="Times New Roman" w:hAnsi="Times New Roman" w:cs="Times New Roman"/>
          <w:sz w:val="24"/>
          <w:szCs w:val="24"/>
          <w:lang w:val="en-GB"/>
        </w:rPr>
        <w:t xml:space="preserve"> each</w:t>
      </w:r>
      <w:r>
        <w:rPr>
          <w:rFonts w:ascii="Times New Roman" w:hAnsi="Times New Roman" w:cs="Times New Roman"/>
          <w:sz w:val="24"/>
          <w:szCs w:val="24"/>
          <w:lang w:val="en-GB"/>
        </w:rPr>
        <w:t>, in turn, replied to the same fundamental question:</w:t>
      </w:r>
      <w:r w:rsidR="00CF30FC">
        <w:rPr>
          <w:rFonts w:ascii="Times New Roman" w:hAnsi="Times New Roman" w:cs="Times New Roman"/>
          <w:sz w:val="24"/>
          <w:szCs w:val="24"/>
          <w:lang w:val="en-GB"/>
        </w:rPr>
        <w:t xml:space="preserve"> is a tribunal still established by law when one of its members has been appointed in an</w:t>
      </w:r>
      <w:r w:rsidR="00DB2933">
        <w:rPr>
          <w:rFonts w:ascii="Times New Roman" w:hAnsi="Times New Roman" w:cs="Times New Roman"/>
          <w:sz w:val="24"/>
          <w:szCs w:val="24"/>
          <w:lang w:val="en-GB"/>
        </w:rPr>
        <w:t xml:space="preserve"> irregular manner?</w:t>
      </w:r>
      <w:r w:rsidR="00CF30FC">
        <w:rPr>
          <w:rFonts w:ascii="Times New Roman" w:hAnsi="Times New Roman" w:cs="Times New Roman"/>
          <w:sz w:val="24"/>
          <w:szCs w:val="24"/>
          <w:lang w:val="en-GB"/>
        </w:rPr>
        <w:t xml:space="preserve"> Even though the three Court</w:t>
      </w:r>
      <w:r w:rsidR="00CB075F">
        <w:rPr>
          <w:rFonts w:ascii="Times New Roman" w:hAnsi="Times New Roman" w:cs="Times New Roman"/>
          <w:sz w:val="24"/>
          <w:szCs w:val="24"/>
          <w:lang w:val="en-GB"/>
        </w:rPr>
        <w:t>s</w:t>
      </w:r>
      <w:r w:rsidR="00CF30FC">
        <w:rPr>
          <w:rFonts w:ascii="Times New Roman" w:hAnsi="Times New Roman" w:cs="Times New Roman"/>
          <w:sz w:val="24"/>
          <w:szCs w:val="24"/>
          <w:lang w:val="en-GB"/>
        </w:rPr>
        <w:t xml:space="preserve"> </w:t>
      </w:r>
      <w:r w:rsidR="00DB2933">
        <w:rPr>
          <w:rFonts w:ascii="Times New Roman" w:hAnsi="Times New Roman" w:cs="Times New Roman"/>
          <w:sz w:val="24"/>
          <w:szCs w:val="24"/>
          <w:lang w:val="en-GB"/>
        </w:rPr>
        <w:t>afford different levels of protection</w:t>
      </w:r>
      <w:r w:rsidR="00CF30FC">
        <w:rPr>
          <w:rFonts w:ascii="Times New Roman" w:hAnsi="Times New Roman" w:cs="Times New Roman"/>
          <w:sz w:val="24"/>
          <w:szCs w:val="24"/>
          <w:lang w:val="en-GB"/>
        </w:rPr>
        <w:t xml:space="preserve"> to the right to a tribunal established by law, they do all agree on the basic premise that an irregular appointment procedure can lead to a violation of this fundamental right.</w:t>
      </w:r>
      <w:r w:rsidR="003D727A">
        <w:rPr>
          <w:rFonts w:ascii="Times New Roman" w:hAnsi="Times New Roman" w:cs="Times New Roman"/>
          <w:sz w:val="24"/>
          <w:szCs w:val="24"/>
          <w:lang w:val="en-GB"/>
        </w:rPr>
        <w:t xml:space="preserve"> The judgment by the General Court in </w:t>
      </w:r>
      <w:r w:rsidR="003D727A">
        <w:rPr>
          <w:rFonts w:ascii="Times New Roman" w:hAnsi="Times New Roman" w:cs="Times New Roman"/>
          <w:i/>
          <w:sz w:val="24"/>
          <w:szCs w:val="24"/>
          <w:lang w:val="en-GB"/>
        </w:rPr>
        <w:t>FV</w:t>
      </w:r>
      <w:r w:rsidR="003D727A">
        <w:rPr>
          <w:rFonts w:ascii="Times New Roman" w:hAnsi="Times New Roman" w:cs="Times New Roman"/>
          <w:sz w:val="24"/>
          <w:szCs w:val="24"/>
          <w:lang w:val="en-GB"/>
        </w:rPr>
        <w:t xml:space="preserve"> has </w:t>
      </w:r>
      <w:r w:rsidR="000C4292">
        <w:rPr>
          <w:rFonts w:ascii="Times New Roman" w:hAnsi="Times New Roman" w:cs="Times New Roman"/>
          <w:sz w:val="24"/>
          <w:szCs w:val="24"/>
          <w:lang w:val="en-GB"/>
        </w:rPr>
        <w:t xml:space="preserve">thus </w:t>
      </w:r>
      <w:r w:rsidR="003D727A">
        <w:rPr>
          <w:rFonts w:ascii="Times New Roman" w:hAnsi="Times New Roman" w:cs="Times New Roman"/>
          <w:sz w:val="24"/>
          <w:szCs w:val="24"/>
          <w:lang w:val="en-GB"/>
        </w:rPr>
        <w:t>given rise to a judicial trialogue on the right to a tribunal established by law, which broadened the</w:t>
      </w:r>
      <w:r w:rsidR="00CB075F">
        <w:rPr>
          <w:rFonts w:ascii="Times New Roman" w:hAnsi="Times New Roman" w:cs="Times New Roman"/>
          <w:sz w:val="24"/>
          <w:szCs w:val="24"/>
          <w:lang w:val="en-GB"/>
        </w:rPr>
        <w:t xml:space="preserve"> material</w:t>
      </w:r>
      <w:r w:rsidR="003D727A">
        <w:rPr>
          <w:rFonts w:ascii="Times New Roman" w:hAnsi="Times New Roman" w:cs="Times New Roman"/>
          <w:sz w:val="24"/>
          <w:szCs w:val="24"/>
          <w:lang w:val="en-GB"/>
        </w:rPr>
        <w:t xml:space="preserve"> scope of this fundamental right, by adding a new dimension to it. The </w:t>
      </w:r>
      <w:r w:rsidR="00337B8E">
        <w:rPr>
          <w:rFonts w:ascii="Times New Roman" w:hAnsi="Times New Roman" w:cs="Times New Roman"/>
          <w:sz w:val="24"/>
          <w:szCs w:val="24"/>
          <w:lang w:val="en-GB"/>
        </w:rPr>
        <w:t>notion of</w:t>
      </w:r>
      <w:r w:rsidR="00975333">
        <w:rPr>
          <w:rFonts w:ascii="Times New Roman" w:hAnsi="Times New Roman" w:cs="Times New Roman"/>
          <w:sz w:val="24"/>
          <w:szCs w:val="24"/>
          <w:lang w:val="en-GB"/>
        </w:rPr>
        <w:t xml:space="preserve"> ‘established</w:t>
      </w:r>
      <w:r w:rsidR="003D727A">
        <w:rPr>
          <w:rFonts w:ascii="Times New Roman" w:hAnsi="Times New Roman" w:cs="Times New Roman"/>
          <w:sz w:val="24"/>
          <w:szCs w:val="24"/>
          <w:lang w:val="en-GB"/>
        </w:rPr>
        <w:t xml:space="preserve"> by law’ now not only encompasses the legal basis for the </w:t>
      </w:r>
      <w:r w:rsidR="001E696F">
        <w:rPr>
          <w:rFonts w:ascii="Times New Roman" w:hAnsi="Times New Roman" w:cs="Times New Roman"/>
          <w:sz w:val="24"/>
          <w:szCs w:val="24"/>
          <w:lang w:val="en-GB"/>
        </w:rPr>
        <w:t>tribunal</w:t>
      </w:r>
      <w:r w:rsidR="003D727A">
        <w:rPr>
          <w:rFonts w:ascii="Times New Roman" w:hAnsi="Times New Roman" w:cs="Times New Roman"/>
          <w:sz w:val="24"/>
          <w:szCs w:val="24"/>
          <w:lang w:val="en-GB"/>
        </w:rPr>
        <w:t xml:space="preserve"> and compliance with the rules governing its jurisdiction and composition, but </w:t>
      </w:r>
      <w:r w:rsidR="00337B8E">
        <w:rPr>
          <w:rFonts w:ascii="Times New Roman" w:hAnsi="Times New Roman" w:cs="Times New Roman"/>
          <w:sz w:val="24"/>
          <w:szCs w:val="24"/>
          <w:lang w:val="en-GB"/>
        </w:rPr>
        <w:t xml:space="preserve">also </w:t>
      </w:r>
      <w:r w:rsidR="00DB2933">
        <w:rPr>
          <w:rFonts w:ascii="Times New Roman" w:hAnsi="Times New Roman" w:cs="Times New Roman"/>
          <w:sz w:val="24"/>
          <w:szCs w:val="24"/>
          <w:lang w:val="en-GB"/>
        </w:rPr>
        <w:t>compliance with</w:t>
      </w:r>
      <w:r w:rsidR="00337B8E">
        <w:rPr>
          <w:rFonts w:ascii="Times New Roman" w:hAnsi="Times New Roman" w:cs="Times New Roman"/>
          <w:sz w:val="24"/>
          <w:szCs w:val="24"/>
          <w:lang w:val="en-GB"/>
        </w:rPr>
        <w:t xml:space="preserve"> the procedural rules during the appointment proceedings.</w:t>
      </w:r>
    </w:p>
    <w:p w14:paraId="2E4CDC54" w14:textId="2137549C" w:rsidR="00C31ACA" w:rsidRDefault="00547E37"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t>This case</w:t>
      </w:r>
      <w:r w:rsidR="00337B8E">
        <w:rPr>
          <w:rFonts w:ascii="Times New Roman" w:hAnsi="Times New Roman" w:cs="Times New Roman"/>
          <w:sz w:val="24"/>
          <w:szCs w:val="24"/>
          <w:lang w:val="en-GB"/>
        </w:rPr>
        <w:t xml:space="preserve"> note addressed three aspects of the ECJ’s judgment in </w:t>
      </w:r>
      <w:r w:rsidR="00337B8E">
        <w:rPr>
          <w:rFonts w:ascii="Times New Roman" w:hAnsi="Times New Roman" w:cs="Times New Roman"/>
          <w:i/>
          <w:sz w:val="24"/>
          <w:szCs w:val="24"/>
          <w:lang w:val="en-GB"/>
        </w:rPr>
        <w:t>Review Simpson</w:t>
      </w:r>
      <w:r w:rsidR="00337B8E">
        <w:rPr>
          <w:rFonts w:ascii="Times New Roman" w:hAnsi="Times New Roman" w:cs="Times New Roman"/>
          <w:sz w:val="24"/>
          <w:szCs w:val="24"/>
          <w:lang w:val="en-GB"/>
        </w:rPr>
        <w:t>. First</w:t>
      </w:r>
      <w:r w:rsidR="00CB075F">
        <w:rPr>
          <w:rFonts w:ascii="Times New Roman" w:hAnsi="Times New Roman" w:cs="Times New Roman"/>
          <w:sz w:val="24"/>
          <w:szCs w:val="24"/>
          <w:lang w:val="en-GB"/>
        </w:rPr>
        <w:t>,</w:t>
      </w:r>
      <w:r w:rsidR="00337B8E">
        <w:rPr>
          <w:rFonts w:ascii="Times New Roman" w:hAnsi="Times New Roman" w:cs="Times New Roman"/>
          <w:sz w:val="24"/>
          <w:szCs w:val="24"/>
          <w:lang w:val="en-GB"/>
        </w:rPr>
        <w:t xml:space="preserve"> it </w:t>
      </w:r>
      <w:r w:rsidR="00CB075F">
        <w:rPr>
          <w:rFonts w:ascii="Times New Roman" w:hAnsi="Times New Roman" w:cs="Times New Roman"/>
          <w:sz w:val="24"/>
          <w:szCs w:val="24"/>
          <w:lang w:val="en-GB"/>
        </w:rPr>
        <w:t>analysed</w:t>
      </w:r>
      <w:r w:rsidR="00337B8E">
        <w:rPr>
          <w:rFonts w:ascii="Times New Roman" w:hAnsi="Times New Roman" w:cs="Times New Roman"/>
          <w:sz w:val="24"/>
          <w:szCs w:val="24"/>
          <w:lang w:val="en-GB"/>
        </w:rPr>
        <w:t xml:space="preserve"> the </w:t>
      </w:r>
      <w:r w:rsidR="00CB075F">
        <w:rPr>
          <w:rFonts w:ascii="Times New Roman" w:hAnsi="Times New Roman" w:cs="Times New Roman"/>
          <w:sz w:val="24"/>
          <w:szCs w:val="24"/>
          <w:lang w:val="en-GB"/>
        </w:rPr>
        <w:t>scope of the right to a tribunal established by law in the case law of the ECJ and the ECtHR</w:t>
      </w:r>
      <w:r w:rsidR="00DB2933">
        <w:rPr>
          <w:rFonts w:ascii="Times New Roman" w:hAnsi="Times New Roman" w:cs="Times New Roman"/>
          <w:sz w:val="24"/>
          <w:szCs w:val="24"/>
          <w:lang w:val="en-GB"/>
        </w:rPr>
        <w:t xml:space="preserve"> and what the </w:t>
      </w:r>
      <w:r w:rsidR="00DB2933">
        <w:rPr>
          <w:rFonts w:ascii="Times New Roman" w:hAnsi="Times New Roman" w:cs="Times New Roman"/>
          <w:i/>
          <w:sz w:val="24"/>
          <w:szCs w:val="24"/>
          <w:lang w:val="en-GB"/>
        </w:rPr>
        <w:t xml:space="preserve">Review Simpson </w:t>
      </w:r>
      <w:r w:rsidR="00DB2933">
        <w:rPr>
          <w:rFonts w:ascii="Times New Roman" w:hAnsi="Times New Roman" w:cs="Times New Roman"/>
          <w:sz w:val="24"/>
          <w:szCs w:val="24"/>
          <w:lang w:val="en-GB"/>
        </w:rPr>
        <w:t xml:space="preserve">and </w:t>
      </w:r>
      <w:proofErr w:type="spellStart"/>
      <w:r w:rsidR="00DB2933" w:rsidRPr="00EA094A">
        <w:rPr>
          <w:rFonts w:ascii="Times New Roman" w:hAnsi="Times New Roman" w:cs="Times New Roman"/>
          <w:i/>
          <w:sz w:val="24"/>
          <w:lang w:val="en-GB"/>
        </w:rPr>
        <w:t>Ástráðsson</w:t>
      </w:r>
      <w:proofErr w:type="spellEnd"/>
      <w:r w:rsidR="00DB2933">
        <w:rPr>
          <w:rFonts w:ascii="Times New Roman" w:hAnsi="Times New Roman" w:cs="Times New Roman"/>
          <w:sz w:val="24"/>
          <w:lang w:val="en-GB"/>
        </w:rPr>
        <w:t xml:space="preserve"> judgments</w:t>
      </w:r>
      <w:r w:rsidR="000C4292">
        <w:rPr>
          <w:rFonts w:ascii="Times New Roman" w:hAnsi="Times New Roman" w:cs="Times New Roman"/>
          <w:sz w:val="24"/>
          <w:lang w:val="en-GB"/>
        </w:rPr>
        <w:t xml:space="preserve"> </w:t>
      </w:r>
      <w:r w:rsidR="00DB4415">
        <w:rPr>
          <w:rFonts w:ascii="Times New Roman" w:hAnsi="Times New Roman" w:cs="Times New Roman"/>
          <w:sz w:val="24"/>
          <w:lang w:val="en-GB"/>
        </w:rPr>
        <w:t xml:space="preserve">have </w:t>
      </w:r>
      <w:r w:rsidR="000C4292">
        <w:rPr>
          <w:rFonts w:ascii="Times New Roman" w:hAnsi="Times New Roman" w:cs="Times New Roman"/>
          <w:sz w:val="24"/>
          <w:lang w:val="en-GB"/>
        </w:rPr>
        <w:t>added in this regard</w:t>
      </w:r>
      <w:r w:rsidR="00CB075F">
        <w:rPr>
          <w:rFonts w:ascii="Times New Roman" w:hAnsi="Times New Roman" w:cs="Times New Roman"/>
          <w:sz w:val="24"/>
          <w:szCs w:val="24"/>
          <w:lang w:val="en-GB"/>
        </w:rPr>
        <w:t xml:space="preserve">. Second, it examined the consequences of </w:t>
      </w:r>
      <w:r w:rsidR="009B59EF">
        <w:rPr>
          <w:rFonts w:ascii="Times New Roman" w:hAnsi="Times New Roman" w:cs="Times New Roman"/>
          <w:sz w:val="24"/>
          <w:szCs w:val="24"/>
          <w:lang w:val="en-GB"/>
        </w:rPr>
        <w:t xml:space="preserve">the </w:t>
      </w:r>
      <w:r w:rsidR="009B59EF">
        <w:rPr>
          <w:rFonts w:ascii="Times New Roman" w:hAnsi="Times New Roman" w:cs="Times New Roman"/>
          <w:i/>
          <w:sz w:val="24"/>
          <w:szCs w:val="24"/>
          <w:lang w:val="en-GB"/>
        </w:rPr>
        <w:t>Review Simpson</w:t>
      </w:r>
      <w:r w:rsidR="00CB075F">
        <w:rPr>
          <w:rFonts w:ascii="Times New Roman" w:hAnsi="Times New Roman" w:cs="Times New Roman"/>
          <w:sz w:val="24"/>
          <w:szCs w:val="24"/>
          <w:lang w:val="en-GB"/>
        </w:rPr>
        <w:t xml:space="preserve"> judgment for the </w:t>
      </w:r>
      <w:r w:rsidR="00E74183">
        <w:rPr>
          <w:rFonts w:ascii="Times New Roman" w:hAnsi="Times New Roman" w:cs="Times New Roman"/>
          <w:sz w:val="24"/>
          <w:szCs w:val="24"/>
          <w:lang w:val="en-GB"/>
        </w:rPr>
        <w:t>EU</w:t>
      </w:r>
      <w:r w:rsidR="00CB075F">
        <w:rPr>
          <w:rFonts w:ascii="Times New Roman" w:hAnsi="Times New Roman" w:cs="Times New Roman"/>
          <w:sz w:val="24"/>
          <w:szCs w:val="24"/>
          <w:lang w:val="en-GB"/>
        </w:rPr>
        <w:t xml:space="preserve"> Member States. </w:t>
      </w:r>
      <w:r w:rsidR="00E74183">
        <w:rPr>
          <w:rFonts w:ascii="Times New Roman" w:hAnsi="Times New Roman" w:cs="Times New Roman"/>
          <w:sz w:val="24"/>
          <w:szCs w:val="24"/>
          <w:lang w:val="en-GB"/>
        </w:rPr>
        <w:t>In order t</w:t>
      </w:r>
      <w:r w:rsidR="009B59EF">
        <w:rPr>
          <w:rFonts w:ascii="Times New Roman" w:hAnsi="Times New Roman" w:cs="Times New Roman"/>
          <w:sz w:val="24"/>
          <w:szCs w:val="24"/>
          <w:lang w:val="en-GB"/>
        </w:rPr>
        <w:t xml:space="preserve">o do so it asked to what extent the principles of the judgment, which concerned a dispute on the level of the </w:t>
      </w:r>
      <w:r w:rsidR="00E74183">
        <w:rPr>
          <w:rFonts w:ascii="Times New Roman" w:hAnsi="Times New Roman" w:cs="Times New Roman"/>
          <w:sz w:val="24"/>
          <w:szCs w:val="24"/>
          <w:lang w:val="en-GB"/>
        </w:rPr>
        <w:t>EU</w:t>
      </w:r>
      <w:r w:rsidR="009B59EF">
        <w:rPr>
          <w:rFonts w:ascii="Times New Roman" w:hAnsi="Times New Roman" w:cs="Times New Roman"/>
          <w:sz w:val="24"/>
          <w:szCs w:val="24"/>
          <w:lang w:val="en-GB"/>
        </w:rPr>
        <w:t xml:space="preserve"> institutions, could be applied to the domestic level as well.</w:t>
      </w:r>
      <w:r w:rsidR="008970A0">
        <w:rPr>
          <w:rFonts w:ascii="Times New Roman" w:hAnsi="Times New Roman" w:cs="Times New Roman"/>
          <w:sz w:val="24"/>
          <w:szCs w:val="24"/>
          <w:lang w:val="en-GB"/>
        </w:rPr>
        <w:t xml:space="preserve"> In this regard, it was noted that the principles will necessarily apply when domestic courts are ruling on the rights and freedoms guaranteed by EU law, in accordance with Article 47 of the Charter. More importantly, this case note argued that the right to a tribunal established by law can also be read in the second subparagraph of Article 19(1) TEU. This provision would then constitute an autonomous ground for the domestic application of the right to a tribunal established by law. The repercussions of this application for the domestic judicial order should not be underestimated, as it requires every court to verify of its own motion whether it constitutes a tribunal established by law</w:t>
      </w:r>
      <w:r w:rsidR="00270E95">
        <w:rPr>
          <w:rFonts w:ascii="Times New Roman" w:hAnsi="Times New Roman" w:cs="Times New Roman"/>
          <w:sz w:val="24"/>
          <w:szCs w:val="24"/>
          <w:lang w:val="en-GB"/>
        </w:rPr>
        <w:t xml:space="preserve"> and whether the appointment proceedings of its judges complied with all requirements. Furthermore, it may interfere with the possibility of domestic courts to ask for preliminary rulings and may even provide the grounds for future infringement proceedings. In a third and final part of the commentary,</w:t>
      </w:r>
      <w:r w:rsidR="000C4292">
        <w:rPr>
          <w:rFonts w:ascii="Times New Roman" w:hAnsi="Times New Roman" w:cs="Times New Roman"/>
          <w:sz w:val="24"/>
          <w:szCs w:val="24"/>
          <w:lang w:val="en-GB"/>
        </w:rPr>
        <w:t xml:space="preserve"> the</w:t>
      </w:r>
      <w:r w:rsidR="00270E95">
        <w:rPr>
          <w:rFonts w:ascii="Times New Roman" w:hAnsi="Times New Roman" w:cs="Times New Roman"/>
          <w:sz w:val="24"/>
          <w:szCs w:val="24"/>
          <w:lang w:val="en-GB"/>
        </w:rPr>
        <w:t xml:space="preserve"> case note </w:t>
      </w:r>
      <w:r w:rsidR="00975333">
        <w:rPr>
          <w:rFonts w:ascii="Times New Roman" w:hAnsi="Times New Roman" w:cs="Times New Roman"/>
          <w:sz w:val="24"/>
          <w:szCs w:val="24"/>
          <w:lang w:val="en-GB"/>
        </w:rPr>
        <w:t>briefly touched upon the questions that remained unanswered after this judgment.</w:t>
      </w:r>
      <w:r w:rsidR="00970A0F">
        <w:rPr>
          <w:rFonts w:ascii="Times New Roman" w:hAnsi="Times New Roman" w:cs="Times New Roman"/>
          <w:sz w:val="24"/>
          <w:szCs w:val="24"/>
          <w:lang w:val="en-GB"/>
        </w:rPr>
        <w:t xml:space="preserve"> It questioned what would be the fate of judgments that were issued by tribunals that were subsequently found not to be established by law. Furthermore, it </w:t>
      </w:r>
      <w:r w:rsidR="00270E95">
        <w:rPr>
          <w:rFonts w:ascii="Times New Roman" w:hAnsi="Times New Roman" w:cs="Times New Roman"/>
          <w:sz w:val="24"/>
          <w:szCs w:val="24"/>
          <w:lang w:val="en-GB"/>
        </w:rPr>
        <w:t xml:space="preserve">asked whether the principles set forth in </w:t>
      </w:r>
      <w:r w:rsidR="00270E95">
        <w:rPr>
          <w:rFonts w:ascii="Times New Roman" w:hAnsi="Times New Roman" w:cs="Times New Roman"/>
          <w:i/>
          <w:sz w:val="24"/>
          <w:szCs w:val="24"/>
          <w:lang w:val="en-GB"/>
        </w:rPr>
        <w:t xml:space="preserve">Review Simpson </w:t>
      </w:r>
      <w:r w:rsidR="00270E95">
        <w:rPr>
          <w:rFonts w:ascii="Times New Roman" w:hAnsi="Times New Roman" w:cs="Times New Roman"/>
          <w:sz w:val="24"/>
          <w:szCs w:val="24"/>
          <w:lang w:val="en-GB"/>
        </w:rPr>
        <w:t xml:space="preserve">could be taken one step further, by including the irregular removal of judges into the scope of the right to a tribunal established by law as well. </w:t>
      </w:r>
    </w:p>
    <w:p w14:paraId="28B03934" w14:textId="78976807" w:rsidR="008A244F" w:rsidRDefault="00270E95" w:rsidP="00876C0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general, this judgment can be seen as another step</w:t>
      </w:r>
      <w:r w:rsidR="002973F5">
        <w:rPr>
          <w:rFonts w:ascii="Times New Roman" w:hAnsi="Times New Roman" w:cs="Times New Roman"/>
          <w:sz w:val="24"/>
          <w:szCs w:val="24"/>
          <w:lang w:val="en-GB"/>
        </w:rPr>
        <w:t xml:space="preserve"> by the ECJ</w:t>
      </w:r>
      <w:r>
        <w:rPr>
          <w:rFonts w:ascii="Times New Roman" w:hAnsi="Times New Roman" w:cs="Times New Roman"/>
          <w:sz w:val="24"/>
          <w:szCs w:val="24"/>
          <w:lang w:val="en-GB"/>
        </w:rPr>
        <w:t xml:space="preserve"> in </w:t>
      </w:r>
      <w:r w:rsidR="00970A0F">
        <w:rPr>
          <w:rFonts w:ascii="Times New Roman" w:hAnsi="Times New Roman" w:cs="Times New Roman"/>
          <w:sz w:val="24"/>
          <w:szCs w:val="24"/>
          <w:lang w:val="en-GB"/>
        </w:rPr>
        <w:t>strengthening its supervision over</w:t>
      </w:r>
      <w:r>
        <w:rPr>
          <w:rFonts w:ascii="Times New Roman" w:hAnsi="Times New Roman" w:cs="Times New Roman"/>
          <w:sz w:val="24"/>
          <w:szCs w:val="24"/>
          <w:lang w:val="en-GB"/>
        </w:rPr>
        <w:t xml:space="preserve"> issues </w:t>
      </w:r>
      <w:r w:rsidR="000C4292">
        <w:rPr>
          <w:rFonts w:ascii="Times New Roman" w:hAnsi="Times New Roman" w:cs="Times New Roman"/>
          <w:sz w:val="24"/>
          <w:szCs w:val="24"/>
          <w:lang w:val="en-GB"/>
        </w:rPr>
        <w:t>concerning the</w:t>
      </w:r>
      <w:r>
        <w:rPr>
          <w:rFonts w:ascii="Times New Roman" w:hAnsi="Times New Roman" w:cs="Times New Roman"/>
          <w:sz w:val="24"/>
          <w:szCs w:val="24"/>
          <w:lang w:val="en-GB"/>
        </w:rPr>
        <w:t xml:space="preserve"> domestic </w:t>
      </w:r>
      <w:r w:rsidR="00C563AD">
        <w:rPr>
          <w:rFonts w:ascii="Times New Roman" w:hAnsi="Times New Roman" w:cs="Times New Roman"/>
          <w:sz w:val="24"/>
          <w:szCs w:val="24"/>
          <w:lang w:val="en-GB"/>
        </w:rPr>
        <w:t>judicial organiz</w:t>
      </w:r>
      <w:r w:rsidR="002973F5">
        <w:rPr>
          <w:rFonts w:ascii="Times New Roman" w:hAnsi="Times New Roman" w:cs="Times New Roman"/>
          <w:sz w:val="24"/>
          <w:szCs w:val="24"/>
          <w:lang w:val="en-GB"/>
        </w:rPr>
        <w:t xml:space="preserve">ation. </w:t>
      </w:r>
      <w:r w:rsidR="007B016C">
        <w:rPr>
          <w:rFonts w:ascii="Times New Roman" w:hAnsi="Times New Roman" w:cs="Times New Roman"/>
          <w:sz w:val="24"/>
          <w:szCs w:val="24"/>
          <w:lang w:val="en-GB"/>
        </w:rPr>
        <w:t xml:space="preserve">The Court made clear that it </w:t>
      </w:r>
      <w:r w:rsidR="002973F5">
        <w:rPr>
          <w:rFonts w:ascii="Times New Roman" w:hAnsi="Times New Roman" w:cs="Times New Roman"/>
          <w:sz w:val="24"/>
          <w:szCs w:val="24"/>
          <w:lang w:val="en-GB"/>
        </w:rPr>
        <w:t xml:space="preserve">is not only committed to </w:t>
      </w:r>
      <w:r w:rsidR="007B016C">
        <w:rPr>
          <w:rFonts w:ascii="Times New Roman" w:hAnsi="Times New Roman" w:cs="Times New Roman"/>
          <w:sz w:val="24"/>
          <w:szCs w:val="24"/>
          <w:lang w:val="en-GB"/>
        </w:rPr>
        <w:t xml:space="preserve">addressing issues of judicial independence, but also </w:t>
      </w:r>
      <w:r w:rsidR="00DB2933">
        <w:rPr>
          <w:rFonts w:ascii="Times New Roman" w:hAnsi="Times New Roman" w:cs="Times New Roman"/>
          <w:sz w:val="24"/>
          <w:szCs w:val="24"/>
          <w:lang w:val="en-GB"/>
        </w:rPr>
        <w:t xml:space="preserve">of </w:t>
      </w:r>
      <w:r w:rsidR="007B016C">
        <w:rPr>
          <w:rFonts w:ascii="Times New Roman" w:hAnsi="Times New Roman" w:cs="Times New Roman"/>
          <w:sz w:val="24"/>
          <w:szCs w:val="24"/>
          <w:lang w:val="en-GB"/>
        </w:rPr>
        <w:t>other fundamental aspects of the rig</w:t>
      </w:r>
      <w:r w:rsidR="008A244F">
        <w:rPr>
          <w:rFonts w:ascii="Times New Roman" w:hAnsi="Times New Roman" w:cs="Times New Roman"/>
          <w:sz w:val="24"/>
          <w:szCs w:val="24"/>
          <w:lang w:val="en-GB"/>
        </w:rPr>
        <w:t xml:space="preserve">ht to a fair trial. In doing so, the Court is increasingly </w:t>
      </w:r>
      <w:r w:rsidR="003D2479">
        <w:rPr>
          <w:rFonts w:ascii="Times New Roman" w:hAnsi="Times New Roman" w:cs="Times New Roman"/>
          <w:sz w:val="24"/>
          <w:szCs w:val="24"/>
          <w:lang w:val="en-GB"/>
        </w:rPr>
        <w:t xml:space="preserve">dealing with topics that imply the domestic balance of powers and the </w:t>
      </w:r>
      <w:r w:rsidR="00DB4415">
        <w:rPr>
          <w:rFonts w:ascii="Times New Roman" w:hAnsi="Times New Roman" w:cs="Times New Roman"/>
          <w:sz w:val="24"/>
          <w:szCs w:val="24"/>
          <w:lang w:val="en-GB"/>
        </w:rPr>
        <w:t xml:space="preserve">organization of governmental structures within </w:t>
      </w:r>
      <w:r w:rsidR="003D2479">
        <w:rPr>
          <w:rFonts w:ascii="Times New Roman" w:hAnsi="Times New Roman" w:cs="Times New Roman"/>
          <w:sz w:val="24"/>
          <w:szCs w:val="24"/>
          <w:lang w:val="en-GB"/>
        </w:rPr>
        <w:t>the European Member States.</w:t>
      </w:r>
    </w:p>
    <w:p w14:paraId="66CE05BD" w14:textId="5D992DC0" w:rsidR="00EB5F3F" w:rsidRPr="007B016C" w:rsidRDefault="00EB5F3F" w:rsidP="00EB5F3F">
      <w:pPr>
        <w:jc w:val="right"/>
        <w:rPr>
          <w:rFonts w:ascii="Times New Roman" w:hAnsi="Times New Roman" w:cs="Times New Roman"/>
          <w:sz w:val="24"/>
          <w:szCs w:val="24"/>
          <w:lang w:val="en-GB"/>
        </w:rPr>
      </w:pPr>
      <w:r>
        <w:rPr>
          <w:rFonts w:ascii="Times New Roman" w:hAnsi="Times New Roman" w:cs="Times New Roman"/>
          <w:sz w:val="24"/>
          <w:lang w:val="en-GB"/>
        </w:rPr>
        <w:t>Mathieu Leloup</w:t>
      </w:r>
      <w:r w:rsidRPr="00733141">
        <w:rPr>
          <w:rStyle w:val="Voetnootmarkering"/>
          <w:sz w:val="28"/>
          <w:lang w:val="en-GB"/>
        </w:rPr>
        <w:footnoteReference w:customMarkFollows="1" w:id="90"/>
        <w:sym w:font="Symbol" w:char="F02A"/>
      </w:r>
    </w:p>
    <w:sectPr w:rsidR="00EB5F3F" w:rsidRPr="007B01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24EA" w14:textId="77777777" w:rsidR="00EE495E" w:rsidRDefault="00EE495E" w:rsidP="00876C07">
      <w:pPr>
        <w:spacing w:after="0" w:line="240" w:lineRule="auto"/>
      </w:pPr>
      <w:r>
        <w:separator/>
      </w:r>
    </w:p>
  </w:endnote>
  <w:endnote w:type="continuationSeparator" w:id="0">
    <w:p w14:paraId="6C1B84F2" w14:textId="77777777" w:rsidR="00EE495E" w:rsidRDefault="00EE495E" w:rsidP="008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9130577"/>
      <w:docPartObj>
        <w:docPartGallery w:val="Page Numbers (Bottom of Page)"/>
        <w:docPartUnique/>
      </w:docPartObj>
    </w:sdtPr>
    <w:sdtEndPr/>
    <w:sdtContent>
      <w:p w14:paraId="56FA5542" w14:textId="5B4E6CA1" w:rsidR="0093712C" w:rsidRPr="0093712C" w:rsidRDefault="0093712C">
        <w:pPr>
          <w:pStyle w:val="Voettekst"/>
          <w:jc w:val="right"/>
          <w:rPr>
            <w:rFonts w:ascii="Times New Roman" w:hAnsi="Times New Roman" w:cs="Times New Roman"/>
          </w:rPr>
        </w:pPr>
        <w:r w:rsidRPr="0093712C">
          <w:rPr>
            <w:rFonts w:ascii="Times New Roman" w:hAnsi="Times New Roman" w:cs="Times New Roman"/>
          </w:rPr>
          <w:fldChar w:fldCharType="begin"/>
        </w:r>
        <w:r w:rsidRPr="0093712C">
          <w:rPr>
            <w:rFonts w:ascii="Times New Roman" w:hAnsi="Times New Roman" w:cs="Times New Roman"/>
          </w:rPr>
          <w:instrText>PAGE   \* MERGEFORMAT</w:instrText>
        </w:r>
        <w:r w:rsidRPr="0093712C">
          <w:rPr>
            <w:rFonts w:ascii="Times New Roman" w:hAnsi="Times New Roman" w:cs="Times New Roman"/>
          </w:rPr>
          <w:fldChar w:fldCharType="separate"/>
        </w:r>
        <w:r w:rsidR="00B00C74" w:rsidRPr="00B00C74">
          <w:rPr>
            <w:rFonts w:ascii="Times New Roman" w:hAnsi="Times New Roman" w:cs="Times New Roman"/>
            <w:noProof/>
            <w:lang w:val="nl-NL"/>
          </w:rPr>
          <w:t>3</w:t>
        </w:r>
        <w:r w:rsidRPr="0093712C">
          <w:rPr>
            <w:rFonts w:ascii="Times New Roman" w:hAnsi="Times New Roman" w:cs="Times New Roman"/>
          </w:rPr>
          <w:fldChar w:fldCharType="end"/>
        </w:r>
      </w:p>
    </w:sdtContent>
  </w:sdt>
  <w:p w14:paraId="0A39DB75" w14:textId="77777777" w:rsidR="0093712C" w:rsidRDefault="009371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B6F73" w14:textId="77777777" w:rsidR="00EE495E" w:rsidRDefault="00EE495E" w:rsidP="00876C07">
      <w:pPr>
        <w:spacing w:after="0" w:line="240" w:lineRule="auto"/>
      </w:pPr>
      <w:r>
        <w:separator/>
      </w:r>
    </w:p>
  </w:footnote>
  <w:footnote w:type="continuationSeparator" w:id="0">
    <w:p w14:paraId="30ECA996" w14:textId="77777777" w:rsidR="00EE495E" w:rsidRDefault="00EE495E" w:rsidP="00876C07">
      <w:pPr>
        <w:spacing w:after="0" w:line="240" w:lineRule="auto"/>
      </w:pPr>
      <w:r>
        <w:continuationSeparator/>
      </w:r>
    </w:p>
  </w:footnote>
  <w:footnote w:id="1">
    <w:p w14:paraId="64F25C10" w14:textId="2CA63A61"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0055679F" w:rsidRPr="00A37F5E">
        <w:rPr>
          <w:rFonts w:ascii="Times New Roman" w:hAnsi="Times New Roman" w:cs="Times New Roman"/>
          <w:lang w:val="fr-BE"/>
        </w:rPr>
        <w:t xml:space="preserve"> By </w:t>
      </w:r>
      <w:proofErr w:type="spellStart"/>
      <w:r w:rsidR="0055679F" w:rsidRPr="00A37F5E">
        <w:rPr>
          <w:rFonts w:ascii="Times New Roman" w:hAnsi="Times New Roman" w:cs="Times New Roman"/>
          <w:lang w:val="fr-BE"/>
        </w:rPr>
        <w:t>way</w:t>
      </w:r>
      <w:proofErr w:type="spellEnd"/>
      <w:r w:rsidR="0055679F" w:rsidRPr="00A37F5E">
        <w:rPr>
          <w:rFonts w:ascii="Times New Roman" w:hAnsi="Times New Roman" w:cs="Times New Roman"/>
          <w:lang w:val="fr-BE"/>
        </w:rPr>
        <w:t xml:space="preserve"> of </w:t>
      </w:r>
      <w:proofErr w:type="spellStart"/>
      <w:r w:rsidR="00F31E3D" w:rsidRPr="00A37F5E">
        <w:rPr>
          <w:rFonts w:ascii="Times New Roman" w:hAnsi="Times New Roman" w:cs="Times New Roman"/>
          <w:lang w:val="fr-BE"/>
        </w:rPr>
        <w:t>example</w:t>
      </w:r>
      <w:proofErr w:type="spellEnd"/>
      <w:r w:rsidR="0055679F" w:rsidRPr="00A37F5E">
        <w:rPr>
          <w:rFonts w:ascii="Times New Roman" w:hAnsi="Times New Roman" w:cs="Times New Roman"/>
          <w:lang w:val="fr-BE"/>
        </w:rPr>
        <w:t xml:space="preserve">: </w:t>
      </w:r>
      <w:proofErr w:type="spellStart"/>
      <w:r w:rsidR="0055679F" w:rsidRPr="00A37F5E">
        <w:rPr>
          <w:rFonts w:ascii="Times New Roman" w:hAnsi="Times New Roman" w:cs="Times New Roman"/>
          <w:lang w:val="fr-BE"/>
        </w:rPr>
        <w:t>Frese</w:t>
      </w:r>
      <w:proofErr w:type="spellEnd"/>
      <w:r w:rsidR="0055679F" w:rsidRPr="00A37F5E">
        <w:rPr>
          <w:rFonts w:ascii="Times New Roman" w:hAnsi="Times New Roman" w:cs="Times New Roman"/>
          <w:lang w:val="fr-BE"/>
        </w:rPr>
        <w:t xml:space="preserve"> and Palmer Olsen, “</w:t>
      </w:r>
      <w:proofErr w:type="spellStart"/>
      <w:r w:rsidR="0055679F" w:rsidRPr="00A37F5E">
        <w:rPr>
          <w:rFonts w:ascii="Times New Roman" w:hAnsi="Times New Roman" w:cs="Times New Roman"/>
          <w:lang w:val="fr-BE"/>
        </w:rPr>
        <w:t>Spelling</w:t>
      </w:r>
      <w:proofErr w:type="spellEnd"/>
      <w:r w:rsidR="0055679F" w:rsidRPr="00A37F5E">
        <w:rPr>
          <w:rFonts w:ascii="Times New Roman" w:hAnsi="Times New Roman" w:cs="Times New Roman"/>
          <w:lang w:val="fr-BE"/>
        </w:rPr>
        <w:t xml:space="preserve"> </w:t>
      </w:r>
      <w:proofErr w:type="spellStart"/>
      <w:r w:rsidR="0055679F" w:rsidRPr="00A37F5E">
        <w:rPr>
          <w:rFonts w:ascii="Times New Roman" w:hAnsi="Times New Roman" w:cs="Times New Roman"/>
          <w:lang w:val="fr-BE"/>
        </w:rPr>
        <w:t>it</w:t>
      </w:r>
      <w:proofErr w:type="spellEnd"/>
      <w:r w:rsidR="0055679F" w:rsidRPr="00A37F5E">
        <w:rPr>
          <w:rFonts w:ascii="Times New Roman" w:hAnsi="Times New Roman" w:cs="Times New Roman"/>
          <w:lang w:val="fr-BE"/>
        </w:rPr>
        <w:t xml:space="preserve"> out – Convergence and Divergence in the </w:t>
      </w:r>
      <w:proofErr w:type="spellStart"/>
      <w:r w:rsidR="0055679F" w:rsidRPr="00A37F5E">
        <w:rPr>
          <w:rFonts w:ascii="Times New Roman" w:hAnsi="Times New Roman" w:cs="Times New Roman"/>
          <w:lang w:val="fr-BE"/>
        </w:rPr>
        <w:t>Judicial</w:t>
      </w:r>
      <w:proofErr w:type="spellEnd"/>
      <w:r w:rsidR="0055679F" w:rsidRPr="00A37F5E">
        <w:rPr>
          <w:rFonts w:ascii="Times New Roman" w:hAnsi="Times New Roman" w:cs="Times New Roman"/>
          <w:lang w:val="fr-BE"/>
        </w:rPr>
        <w:t xml:space="preserve"> Dialogue </w:t>
      </w:r>
      <w:proofErr w:type="spellStart"/>
      <w:r w:rsidR="0055679F" w:rsidRPr="00A37F5E">
        <w:rPr>
          <w:rFonts w:ascii="Times New Roman" w:hAnsi="Times New Roman" w:cs="Times New Roman"/>
          <w:lang w:val="fr-BE"/>
        </w:rPr>
        <w:t>between</w:t>
      </w:r>
      <w:proofErr w:type="spellEnd"/>
      <w:r w:rsidR="0055679F" w:rsidRPr="00A37F5E">
        <w:rPr>
          <w:rFonts w:ascii="Times New Roman" w:hAnsi="Times New Roman" w:cs="Times New Roman"/>
          <w:lang w:val="fr-BE"/>
        </w:rPr>
        <w:t xml:space="preserve"> CJEU and </w:t>
      </w:r>
      <w:proofErr w:type="spellStart"/>
      <w:r w:rsidR="0055679F" w:rsidRPr="00A37F5E">
        <w:rPr>
          <w:rFonts w:ascii="Times New Roman" w:hAnsi="Times New Roman" w:cs="Times New Roman"/>
          <w:lang w:val="fr-BE"/>
        </w:rPr>
        <w:t>ECtHR</w:t>
      </w:r>
      <w:proofErr w:type="spellEnd"/>
      <w:r w:rsidR="0055679F" w:rsidRPr="00A37F5E">
        <w:rPr>
          <w:rFonts w:ascii="Times New Roman" w:hAnsi="Times New Roman" w:cs="Times New Roman"/>
          <w:lang w:val="fr-BE"/>
        </w:rPr>
        <w:t>”</w:t>
      </w:r>
      <w:r w:rsidR="00AA5646">
        <w:rPr>
          <w:rFonts w:ascii="Times New Roman" w:hAnsi="Times New Roman" w:cs="Times New Roman"/>
          <w:lang w:val="fr-BE"/>
        </w:rPr>
        <w:t>,</w:t>
      </w:r>
      <w:r w:rsidR="0055679F" w:rsidRPr="00A37F5E">
        <w:rPr>
          <w:rFonts w:ascii="Times New Roman" w:hAnsi="Times New Roman" w:cs="Times New Roman"/>
          <w:lang w:val="fr-BE"/>
        </w:rPr>
        <w:t xml:space="preserve"> 88 </w:t>
      </w:r>
      <w:proofErr w:type="spellStart"/>
      <w:r w:rsidR="0055679F" w:rsidRPr="00A37F5E">
        <w:rPr>
          <w:rFonts w:ascii="Times New Roman" w:hAnsi="Times New Roman" w:cs="Times New Roman"/>
          <w:lang w:val="fr-BE"/>
        </w:rPr>
        <w:t>Nordic</w:t>
      </w:r>
      <w:proofErr w:type="spellEnd"/>
      <w:r w:rsidR="0055679F" w:rsidRPr="00A37F5E">
        <w:rPr>
          <w:rFonts w:ascii="Times New Roman" w:hAnsi="Times New Roman" w:cs="Times New Roman"/>
          <w:lang w:val="fr-BE"/>
        </w:rPr>
        <w:t xml:space="preserve"> </w:t>
      </w:r>
      <w:r w:rsidR="00DF3FAC" w:rsidRPr="00A37F5E">
        <w:rPr>
          <w:rFonts w:ascii="Times New Roman" w:hAnsi="Times New Roman" w:cs="Times New Roman"/>
          <w:lang w:val="fr-BE"/>
        </w:rPr>
        <w:t>JIL</w:t>
      </w:r>
      <w:r w:rsidR="0055679F" w:rsidRPr="00A37F5E">
        <w:rPr>
          <w:rFonts w:ascii="Times New Roman" w:hAnsi="Times New Roman" w:cs="Times New Roman"/>
          <w:lang w:val="fr-BE"/>
        </w:rPr>
        <w:t xml:space="preserve"> (2019)</w:t>
      </w:r>
      <w:r w:rsidR="00CD3ADA" w:rsidRPr="00A37F5E">
        <w:rPr>
          <w:rFonts w:ascii="Times New Roman" w:hAnsi="Times New Roman" w:cs="Times New Roman"/>
          <w:lang w:val="fr-BE"/>
        </w:rPr>
        <w:t xml:space="preserve">, pp. 429-458; </w:t>
      </w:r>
      <w:proofErr w:type="spellStart"/>
      <w:r w:rsidR="00CD3ADA" w:rsidRPr="00A37F5E">
        <w:rPr>
          <w:rFonts w:ascii="Times New Roman" w:hAnsi="Times New Roman" w:cs="Times New Roman"/>
          <w:lang w:val="fr-BE"/>
        </w:rPr>
        <w:t>Souvignet</w:t>
      </w:r>
      <w:proofErr w:type="spellEnd"/>
      <w:r w:rsidR="00CD3ADA" w:rsidRPr="00A37F5E">
        <w:rPr>
          <w:rFonts w:ascii="Times New Roman" w:hAnsi="Times New Roman" w:cs="Times New Roman"/>
          <w:lang w:val="fr-BE"/>
        </w:rPr>
        <w:t>, “Cour de justice de l’Union européenne et Cour e</w:t>
      </w:r>
      <w:r w:rsidR="0093712C" w:rsidRPr="00A37F5E">
        <w:rPr>
          <w:rFonts w:ascii="Times New Roman" w:hAnsi="Times New Roman" w:cs="Times New Roman"/>
          <w:lang w:val="fr-BE"/>
        </w:rPr>
        <w:t>uropéenne des droits de l’homme</w:t>
      </w:r>
      <w:r w:rsidR="00CD3ADA" w:rsidRPr="00A37F5E">
        <w:rPr>
          <w:rFonts w:ascii="Times New Roman" w:hAnsi="Times New Roman" w:cs="Times New Roman"/>
          <w:lang w:val="fr-BE"/>
        </w:rPr>
        <w:t xml:space="preserve">: dialogue des juges ou objectivité des droits fondamentaux?” in </w:t>
      </w:r>
      <w:proofErr w:type="spellStart"/>
      <w:r w:rsidR="00CD3ADA" w:rsidRPr="00A37F5E">
        <w:rPr>
          <w:rFonts w:ascii="Times New Roman" w:hAnsi="Times New Roman" w:cs="Times New Roman"/>
          <w:lang w:val="fr-BE"/>
        </w:rPr>
        <w:t>Menétrey</w:t>
      </w:r>
      <w:proofErr w:type="spellEnd"/>
      <w:r w:rsidR="00CD3ADA" w:rsidRPr="00A37F5E">
        <w:rPr>
          <w:rFonts w:ascii="Times New Roman" w:hAnsi="Times New Roman" w:cs="Times New Roman"/>
          <w:lang w:val="fr-BE"/>
        </w:rPr>
        <w:t xml:space="preserve"> and Hess (</w:t>
      </w:r>
      <w:proofErr w:type="spellStart"/>
      <w:r w:rsidR="00CD3ADA" w:rsidRPr="00A37F5E">
        <w:rPr>
          <w:rFonts w:ascii="Times New Roman" w:hAnsi="Times New Roman" w:cs="Times New Roman"/>
          <w:lang w:val="fr-BE"/>
        </w:rPr>
        <w:t>eds</w:t>
      </w:r>
      <w:proofErr w:type="spellEnd"/>
      <w:r w:rsidR="00CD3ADA" w:rsidRPr="00A37F5E">
        <w:rPr>
          <w:rFonts w:ascii="Times New Roman" w:hAnsi="Times New Roman" w:cs="Times New Roman"/>
          <w:lang w:val="fr-BE"/>
        </w:rPr>
        <w:t xml:space="preserve">.), </w:t>
      </w:r>
      <w:r w:rsidR="00CD3ADA" w:rsidRPr="00A37F5E">
        <w:rPr>
          <w:rFonts w:ascii="Times New Roman" w:hAnsi="Times New Roman" w:cs="Times New Roman"/>
          <w:i/>
          <w:lang w:val="fr-BE"/>
        </w:rPr>
        <w:t>Les dialogues des juges en Europe</w:t>
      </w:r>
      <w:r w:rsidR="00CD3ADA" w:rsidRPr="00A37F5E">
        <w:rPr>
          <w:rFonts w:ascii="Times New Roman" w:hAnsi="Times New Roman" w:cs="Times New Roman"/>
          <w:lang w:val="fr-BE"/>
        </w:rPr>
        <w:t xml:space="preserve"> (</w:t>
      </w:r>
      <w:proofErr w:type="spellStart"/>
      <w:r w:rsidR="00CD3ADA" w:rsidRPr="00A37F5E">
        <w:rPr>
          <w:rFonts w:ascii="Times New Roman" w:hAnsi="Times New Roman" w:cs="Times New Roman"/>
          <w:lang w:val="fr-BE"/>
        </w:rPr>
        <w:t>Larcier</w:t>
      </w:r>
      <w:proofErr w:type="spellEnd"/>
      <w:r w:rsidR="00CD3ADA" w:rsidRPr="00A37F5E">
        <w:rPr>
          <w:rFonts w:ascii="Times New Roman" w:hAnsi="Times New Roman" w:cs="Times New Roman"/>
          <w:lang w:val="fr-BE"/>
        </w:rPr>
        <w:t>, 2014), pp. 141-154;</w:t>
      </w:r>
      <w:r w:rsidR="00F31E3D" w:rsidRPr="00A37F5E">
        <w:rPr>
          <w:rFonts w:ascii="Times New Roman" w:hAnsi="Times New Roman" w:cs="Times New Roman"/>
          <w:lang w:val="fr-BE"/>
        </w:rPr>
        <w:t xml:space="preserve"> </w:t>
      </w:r>
      <w:proofErr w:type="spellStart"/>
      <w:r w:rsidR="00F31E3D" w:rsidRPr="00A37F5E">
        <w:rPr>
          <w:rFonts w:ascii="Times New Roman" w:hAnsi="Times New Roman" w:cs="Times New Roman"/>
          <w:lang w:val="fr-BE"/>
        </w:rPr>
        <w:t>Harpaz</w:t>
      </w:r>
      <w:proofErr w:type="spellEnd"/>
      <w:r w:rsidR="00F31E3D" w:rsidRPr="00A37F5E">
        <w:rPr>
          <w:rFonts w:ascii="Times New Roman" w:hAnsi="Times New Roman" w:cs="Times New Roman"/>
          <w:bdr w:val="none" w:sz="0" w:space="0" w:color="auto" w:frame="1"/>
          <w:shd w:val="clear" w:color="auto" w:fill="FFFFFF"/>
          <w:lang w:val="fr-BE"/>
        </w:rPr>
        <w:t>, “</w:t>
      </w:r>
      <w:r w:rsidRPr="00A37F5E">
        <w:rPr>
          <w:rFonts w:ascii="Times New Roman" w:hAnsi="Times New Roman" w:cs="Times New Roman"/>
          <w:bdr w:val="none" w:sz="0" w:space="0" w:color="auto" w:frame="1"/>
          <w:shd w:val="clear" w:color="auto" w:fill="FFFFFF"/>
          <w:lang w:val="fr-BE"/>
        </w:rPr>
        <w:t xml:space="preserve">The </w:t>
      </w:r>
      <w:proofErr w:type="spellStart"/>
      <w:r w:rsidRPr="00A37F5E">
        <w:rPr>
          <w:rFonts w:ascii="Times New Roman" w:hAnsi="Times New Roman" w:cs="Times New Roman"/>
          <w:bdr w:val="none" w:sz="0" w:space="0" w:color="auto" w:frame="1"/>
          <w:shd w:val="clear" w:color="auto" w:fill="FFFFFF"/>
          <w:lang w:val="fr-BE"/>
        </w:rPr>
        <w:t>European</w:t>
      </w:r>
      <w:proofErr w:type="spellEnd"/>
      <w:r w:rsidRPr="00A37F5E">
        <w:rPr>
          <w:rFonts w:ascii="Times New Roman" w:hAnsi="Times New Roman" w:cs="Times New Roman"/>
          <w:bdr w:val="none" w:sz="0" w:space="0" w:color="auto" w:frame="1"/>
          <w:shd w:val="clear" w:color="auto" w:fill="FFFFFF"/>
          <w:lang w:val="fr-BE"/>
        </w:rPr>
        <w:t xml:space="preserve"> Court of Justice and </w:t>
      </w:r>
      <w:proofErr w:type="spellStart"/>
      <w:r w:rsidRPr="00A37F5E">
        <w:rPr>
          <w:rFonts w:ascii="Times New Roman" w:hAnsi="Times New Roman" w:cs="Times New Roman"/>
          <w:bdr w:val="none" w:sz="0" w:space="0" w:color="auto" w:frame="1"/>
          <w:shd w:val="clear" w:color="auto" w:fill="FFFFFF"/>
          <w:lang w:val="fr-BE"/>
        </w:rPr>
        <w:t>its</w:t>
      </w:r>
      <w:proofErr w:type="spellEnd"/>
      <w:r w:rsidRPr="00A37F5E">
        <w:rPr>
          <w:rFonts w:ascii="Times New Roman" w:hAnsi="Times New Roman" w:cs="Times New Roman"/>
          <w:bdr w:val="none" w:sz="0" w:space="0" w:color="auto" w:frame="1"/>
          <w:shd w:val="clear" w:color="auto" w:fill="FFFFFF"/>
          <w:lang w:val="fr-BE"/>
        </w:rPr>
        <w:t xml:space="preserve"> relations </w:t>
      </w:r>
      <w:proofErr w:type="spellStart"/>
      <w:r w:rsidRPr="00A37F5E">
        <w:rPr>
          <w:rFonts w:ascii="Times New Roman" w:hAnsi="Times New Roman" w:cs="Times New Roman"/>
          <w:bdr w:val="none" w:sz="0" w:space="0" w:color="auto" w:frame="1"/>
          <w:shd w:val="clear" w:color="auto" w:fill="FFFFFF"/>
          <w:lang w:val="fr-BE"/>
        </w:rPr>
        <w:t>with</w:t>
      </w:r>
      <w:proofErr w:type="spellEnd"/>
      <w:r w:rsidRPr="00A37F5E">
        <w:rPr>
          <w:rFonts w:ascii="Times New Roman" w:hAnsi="Times New Roman" w:cs="Times New Roman"/>
          <w:bdr w:val="none" w:sz="0" w:space="0" w:color="auto" w:frame="1"/>
          <w:shd w:val="clear" w:color="auto" w:fill="FFFFFF"/>
          <w:lang w:val="fr-BE"/>
        </w:rPr>
        <w:t xml:space="preserve"> the </w:t>
      </w:r>
      <w:proofErr w:type="spellStart"/>
      <w:r w:rsidRPr="00A37F5E">
        <w:rPr>
          <w:rFonts w:ascii="Times New Roman" w:hAnsi="Times New Roman" w:cs="Times New Roman"/>
          <w:bdr w:val="none" w:sz="0" w:space="0" w:color="auto" w:frame="1"/>
          <w:shd w:val="clear" w:color="auto" w:fill="FFFFFF"/>
          <w:lang w:val="fr-BE"/>
        </w:rPr>
        <w:t>European</w:t>
      </w:r>
      <w:proofErr w:type="spellEnd"/>
      <w:r w:rsidRPr="00A37F5E">
        <w:rPr>
          <w:rFonts w:ascii="Times New Roman" w:hAnsi="Times New Roman" w:cs="Times New Roman"/>
          <w:bdr w:val="none" w:sz="0" w:space="0" w:color="auto" w:frame="1"/>
          <w:shd w:val="clear" w:color="auto" w:fill="FFFFFF"/>
          <w:lang w:val="fr-BE"/>
        </w:rPr>
        <w:t xml:space="preserve"> Court of </w:t>
      </w:r>
      <w:proofErr w:type="spellStart"/>
      <w:r w:rsidRPr="00A37F5E">
        <w:rPr>
          <w:rFonts w:ascii="Times New Roman" w:hAnsi="Times New Roman" w:cs="Times New Roman"/>
          <w:bdr w:val="none" w:sz="0" w:space="0" w:color="auto" w:frame="1"/>
          <w:shd w:val="clear" w:color="auto" w:fill="FFFFFF"/>
          <w:lang w:val="fr-BE"/>
        </w:rPr>
        <w:t>Human</w:t>
      </w:r>
      <w:proofErr w:type="spellEnd"/>
      <w:r w:rsidRPr="00A37F5E">
        <w:rPr>
          <w:rFonts w:ascii="Times New Roman" w:hAnsi="Times New Roman" w:cs="Times New Roman"/>
          <w:bdr w:val="none" w:sz="0" w:space="0" w:color="auto" w:frame="1"/>
          <w:shd w:val="clear" w:color="auto" w:fill="FFFFFF"/>
          <w:lang w:val="fr-BE"/>
        </w:rPr>
        <w:t xml:space="preserve"> </w:t>
      </w:r>
      <w:proofErr w:type="spellStart"/>
      <w:r w:rsidRPr="00A37F5E">
        <w:rPr>
          <w:rFonts w:ascii="Times New Roman" w:hAnsi="Times New Roman" w:cs="Times New Roman"/>
          <w:bdr w:val="none" w:sz="0" w:space="0" w:color="auto" w:frame="1"/>
          <w:shd w:val="clear" w:color="auto" w:fill="FFFFFF"/>
          <w:lang w:val="fr-BE"/>
        </w:rPr>
        <w:t>Rights</w:t>
      </w:r>
      <w:proofErr w:type="spellEnd"/>
      <w:r w:rsidRPr="00A37F5E">
        <w:rPr>
          <w:rFonts w:ascii="Times New Roman" w:hAnsi="Times New Roman" w:cs="Times New Roman"/>
          <w:bdr w:val="none" w:sz="0" w:space="0" w:color="auto" w:frame="1"/>
          <w:shd w:val="clear" w:color="auto" w:fill="FFFFFF"/>
          <w:lang w:val="fr-BE"/>
        </w:rPr>
        <w:t xml:space="preserve">: The </w:t>
      </w:r>
      <w:proofErr w:type="spellStart"/>
      <w:r w:rsidRPr="00A37F5E">
        <w:rPr>
          <w:rFonts w:ascii="Times New Roman" w:hAnsi="Times New Roman" w:cs="Times New Roman"/>
          <w:bdr w:val="none" w:sz="0" w:space="0" w:color="auto" w:frame="1"/>
          <w:shd w:val="clear" w:color="auto" w:fill="FFFFFF"/>
          <w:lang w:val="fr-BE"/>
        </w:rPr>
        <w:t>quest</w:t>
      </w:r>
      <w:proofErr w:type="spellEnd"/>
      <w:r w:rsidRPr="00A37F5E">
        <w:rPr>
          <w:rFonts w:ascii="Times New Roman" w:hAnsi="Times New Roman" w:cs="Times New Roman"/>
          <w:bdr w:val="none" w:sz="0" w:space="0" w:color="auto" w:frame="1"/>
          <w:shd w:val="clear" w:color="auto" w:fill="FFFFFF"/>
          <w:lang w:val="fr-BE"/>
        </w:rPr>
        <w:t xml:space="preserve"> for </w:t>
      </w:r>
      <w:proofErr w:type="spellStart"/>
      <w:r w:rsidRPr="00A37F5E">
        <w:rPr>
          <w:rFonts w:ascii="Times New Roman" w:hAnsi="Times New Roman" w:cs="Times New Roman"/>
          <w:bdr w:val="none" w:sz="0" w:space="0" w:color="auto" w:frame="1"/>
          <w:shd w:val="clear" w:color="auto" w:fill="FFFFFF"/>
          <w:lang w:val="fr-BE"/>
        </w:rPr>
        <w:t>enhanced</w:t>
      </w:r>
      <w:proofErr w:type="spellEnd"/>
      <w:r w:rsidRPr="00A37F5E">
        <w:rPr>
          <w:rFonts w:ascii="Times New Roman" w:hAnsi="Times New Roman" w:cs="Times New Roman"/>
          <w:bdr w:val="none" w:sz="0" w:space="0" w:color="auto" w:frame="1"/>
          <w:shd w:val="clear" w:color="auto" w:fill="FFFFFF"/>
          <w:lang w:val="fr-BE"/>
        </w:rPr>
        <w:t xml:space="preserve"> </w:t>
      </w:r>
      <w:proofErr w:type="spellStart"/>
      <w:r w:rsidRPr="00A37F5E">
        <w:rPr>
          <w:rFonts w:ascii="Times New Roman" w:hAnsi="Times New Roman" w:cs="Times New Roman"/>
          <w:bdr w:val="none" w:sz="0" w:space="0" w:color="auto" w:frame="1"/>
          <w:shd w:val="clear" w:color="auto" w:fill="FFFFFF"/>
          <w:lang w:val="fr-BE"/>
        </w:rPr>
        <w:t>rel</w:t>
      </w:r>
      <w:r w:rsidR="00F31E3D" w:rsidRPr="00A37F5E">
        <w:rPr>
          <w:rFonts w:ascii="Times New Roman" w:hAnsi="Times New Roman" w:cs="Times New Roman"/>
          <w:bdr w:val="none" w:sz="0" w:space="0" w:color="auto" w:frame="1"/>
          <w:shd w:val="clear" w:color="auto" w:fill="FFFFFF"/>
          <w:lang w:val="fr-BE"/>
        </w:rPr>
        <w:t>iance</w:t>
      </w:r>
      <w:proofErr w:type="spellEnd"/>
      <w:r w:rsidR="00F31E3D" w:rsidRPr="00A37F5E">
        <w:rPr>
          <w:rFonts w:ascii="Times New Roman" w:hAnsi="Times New Roman" w:cs="Times New Roman"/>
          <w:bdr w:val="none" w:sz="0" w:space="0" w:color="auto" w:frame="1"/>
          <w:shd w:val="clear" w:color="auto" w:fill="FFFFFF"/>
          <w:lang w:val="fr-BE"/>
        </w:rPr>
        <w:t xml:space="preserve">, </w:t>
      </w:r>
      <w:proofErr w:type="spellStart"/>
      <w:r w:rsidR="00F31E3D" w:rsidRPr="00A37F5E">
        <w:rPr>
          <w:rFonts w:ascii="Times New Roman" w:hAnsi="Times New Roman" w:cs="Times New Roman"/>
          <w:bdr w:val="none" w:sz="0" w:space="0" w:color="auto" w:frame="1"/>
          <w:shd w:val="clear" w:color="auto" w:fill="FFFFFF"/>
          <w:lang w:val="fr-BE"/>
        </w:rPr>
        <w:t>coherence</w:t>
      </w:r>
      <w:proofErr w:type="spellEnd"/>
      <w:r w:rsidR="00F31E3D" w:rsidRPr="00A37F5E">
        <w:rPr>
          <w:rFonts w:ascii="Times New Roman" w:hAnsi="Times New Roman" w:cs="Times New Roman"/>
          <w:bdr w:val="none" w:sz="0" w:space="0" w:color="auto" w:frame="1"/>
          <w:shd w:val="clear" w:color="auto" w:fill="FFFFFF"/>
          <w:lang w:val="fr-BE"/>
        </w:rPr>
        <w:t xml:space="preserve"> and </w:t>
      </w:r>
      <w:proofErr w:type="spellStart"/>
      <w:r w:rsidR="00F31E3D" w:rsidRPr="00A37F5E">
        <w:rPr>
          <w:rFonts w:ascii="Times New Roman" w:hAnsi="Times New Roman" w:cs="Times New Roman"/>
          <w:bdr w:val="none" w:sz="0" w:space="0" w:color="auto" w:frame="1"/>
          <w:shd w:val="clear" w:color="auto" w:fill="FFFFFF"/>
          <w:lang w:val="fr-BE"/>
        </w:rPr>
        <w:t>legitimacy</w:t>
      </w:r>
      <w:proofErr w:type="spellEnd"/>
      <w:r w:rsidR="00F31E3D" w:rsidRPr="00A37F5E">
        <w:rPr>
          <w:rFonts w:ascii="Times New Roman" w:hAnsi="Times New Roman" w:cs="Times New Roman"/>
          <w:bdr w:val="none" w:sz="0" w:space="0" w:color="auto" w:frame="1"/>
          <w:shd w:val="clear" w:color="auto" w:fill="FFFFFF"/>
          <w:lang w:val="fr-BE"/>
        </w:rPr>
        <w:t xml:space="preserve">” </w:t>
      </w:r>
      <w:r w:rsidRPr="00A37F5E">
        <w:rPr>
          <w:rFonts w:ascii="Times New Roman" w:hAnsi="Times New Roman" w:cs="Times New Roman"/>
          <w:bdr w:val="none" w:sz="0" w:space="0" w:color="auto" w:frame="1"/>
          <w:shd w:val="clear" w:color="auto" w:fill="FFFFFF"/>
          <w:lang w:val="fr-BE"/>
        </w:rPr>
        <w:t>46 </w:t>
      </w:r>
      <w:r w:rsidR="00F31E3D" w:rsidRPr="00A37F5E">
        <w:rPr>
          <w:rFonts w:ascii="Times New Roman" w:hAnsi="Times New Roman" w:cs="Times New Roman"/>
          <w:iCs/>
          <w:bdr w:val="none" w:sz="0" w:space="0" w:color="auto" w:frame="1"/>
          <w:shd w:val="clear" w:color="auto" w:fill="FFFFFF"/>
          <w:lang w:val="fr-BE"/>
        </w:rPr>
        <w:t xml:space="preserve">CML </w:t>
      </w:r>
      <w:proofErr w:type="spellStart"/>
      <w:r w:rsidR="00F31E3D" w:rsidRPr="00A37F5E">
        <w:rPr>
          <w:rFonts w:ascii="Times New Roman" w:hAnsi="Times New Roman" w:cs="Times New Roman"/>
          <w:iCs/>
          <w:bdr w:val="none" w:sz="0" w:space="0" w:color="auto" w:frame="1"/>
          <w:shd w:val="clear" w:color="auto" w:fill="FFFFFF"/>
          <w:lang w:val="fr-BE"/>
        </w:rPr>
        <w:t>Rev</w:t>
      </w:r>
      <w:proofErr w:type="spellEnd"/>
      <w:r w:rsidR="00245406" w:rsidRPr="00A37F5E">
        <w:rPr>
          <w:rFonts w:ascii="Times New Roman" w:hAnsi="Times New Roman" w:cs="Times New Roman"/>
          <w:iCs/>
          <w:bdr w:val="none" w:sz="0" w:space="0" w:color="auto" w:frame="1"/>
          <w:shd w:val="clear" w:color="auto" w:fill="FFFFFF"/>
          <w:lang w:val="fr-BE"/>
        </w:rPr>
        <w:t>.</w:t>
      </w:r>
      <w:r w:rsidR="00F31E3D" w:rsidRPr="00A37F5E">
        <w:rPr>
          <w:rFonts w:ascii="Times New Roman" w:hAnsi="Times New Roman" w:cs="Times New Roman"/>
          <w:iCs/>
          <w:bdr w:val="none" w:sz="0" w:space="0" w:color="auto" w:frame="1"/>
          <w:shd w:val="clear" w:color="auto" w:fill="FFFFFF"/>
          <w:lang w:val="fr-BE"/>
        </w:rPr>
        <w:t xml:space="preserve"> </w:t>
      </w:r>
      <w:r w:rsidR="00F31E3D" w:rsidRPr="00A37F5E">
        <w:rPr>
          <w:rFonts w:ascii="Times New Roman" w:hAnsi="Times New Roman" w:cs="Times New Roman"/>
          <w:iCs/>
          <w:bdr w:val="none" w:sz="0" w:space="0" w:color="auto" w:frame="1"/>
          <w:shd w:val="clear" w:color="auto" w:fill="FFFFFF"/>
          <w:lang w:val="en-GB"/>
        </w:rPr>
        <w:t>(2009)</w:t>
      </w:r>
      <w:r w:rsidRPr="00A37F5E">
        <w:rPr>
          <w:rFonts w:ascii="Times New Roman" w:hAnsi="Times New Roman" w:cs="Times New Roman"/>
          <w:bdr w:val="none" w:sz="0" w:space="0" w:color="auto" w:frame="1"/>
          <w:shd w:val="clear" w:color="auto" w:fill="FFFFFF"/>
          <w:lang w:val="en-GB"/>
        </w:rPr>
        <w:t>, pp. 105–141</w:t>
      </w:r>
      <w:r w:rsidR="00F31E3D" w:rsidRPr="00A37F5E">
        <w:rPr>
          <w:rFonts w:ascii="Times New Roman" w:hAnsi="Times New Roman" w:cs="Times New Roman"/>
          <w:bdr w:val="none" w:sz="0" w:space="0" w:color="auto" w:frame="1"/>
          <w:shd w:val="clear" w:color="auto" w:fill="FFFFFF"/>
          <w:lang w:val="en-GB"/>
        </w:rPr>
        <w:t>.</w:t>
      </w:r>
    </w:p>
  </w:footnote>
  <w:footnote w:id="2">
    <w:p w14:paraId="2DA6DAA0" w14:textId="28AD37D9" w:rsidR="005A4D5C" w:rsidRPr="00A37F5E" w:rsidRDefault="005A4D5C"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Pr="00A37F5E">
        <w:rPr>
          <w:rFonts w:ascii="Times New Roman" w:hAnsi="Times New Roman" w:cs="Times New Roman"/>
          <w:lang w:val="en-GB"/>
        </w:rPr>
        <w:t>Ciliberto</w:t>
      </w:r>
      <w:proofErr w:type="spellEnd"/>
      <w:r w:rsidRPr="00A37F5E">
        <w:rPr>
          <w:rFonts w:ascii="Times New Roman" w:hAnsi="Times New Roman" w:cs="Times New Roman"/>
          <w:lang w:val="en-GB"/>
        </w:rPr>
        <w:t>, “</w:t>
      </w:r>
      <w:r w:rsidRPr="00A37F5E">
        <w:rPr>
          <w:rFonts w:ascii="Times New Roman" w:hAnsi="Times New Roman" w:cs="Times New Roman"/>
          <w:i/>
          <w:lang w:val="en-GB"/>
        </w:rPr>
        <w:t>Non-</w:t>
      </w:r>
      <w:proofErr w:type="spellStart"/>
      <w:r w:rsidRPr="00A37F5E">
        <w:rPr>
          <w:rFonts w:ascii="Times New Roman" w:hAnsi="Times New Roman" w:cs="Times New Roman"/>
          <w:i/>
          <w:lang w:val="en-GB"/>
        </w:rPr>
        <w:t>refoulement</w:t>
      </w:r>
      <w:proofErr w:type="spellEnd"/>
      <w:r w:rsidRPr="00A37F5E">
        <w:rPr>
          <w:rFonts w:ascii="Times New Roman" w:hAnsi="Times New Roman" w:cs="Times New Roman"/>
          <w:lang w:val="en-GB"/>
        </w:rPr>
        <w:t xml:space="preserve"> in the Eyes of the Strasbourg and Luxembourg Courts: What Room for Its Absoluteness?” in </w:t>
      </w:r>
      <w:proofErr w:type="spellStart"/>
      <w:r w:rsidRPr="00A37F5E">
        <w:rPr>
          <w:rFonts w:ascii="Times New Roman" w:hAnsi="Times New Roman" w:cs="Times New Roman"/>
          <w:lang w:val="en-GB"/>
        </w:rPr>
        <w:t>Natoli</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Riccardi</w:t>
      </w:r>
      <w:proofErr w:type="spellEnd"/>
      <w:r w:rsidRPr="00A37F5E">
        <w:rPr>
          <w:rFonts w:ascii="Times New Roman" w:hAnsi="Times New Roman" w:cs="Times New Roman"/>
          <w:lang w:val="en-GB"/>
        </w:rPr>
        <w:t xml:space="preserve"> (eds.), </w:t>
      </w:r>
      <w:r w:rsidRPr="00A37F5E">
        <w:rPr>
          <w:rFonts w:ascii="Times New Roman" w:hAnsi="Times New Roman" w:cs="Times New Roman"/>
          <w:i/>
          <w:lang w:val="en-GB"/>
        </w:rPr>
        <w:t>Borders, Legal Spaces and Territories in Contemporary International Law. Within and Beyond</w:t>
      </w:r>
      <w:r w:rsidRPr="00A37F5E">
        <w:rPr>
          <w:rFonts w:ascii="Times New Roman" w:hAnsi="Times New Roman" w:cs="Times New Roman"/>
          <w:lang w:val="en-GB"/>
        </w:rPr>
        <w:t xml:space="preserve"> (Springer, 2019), pp.59-92.</w:t>
      </w:r>
    </w:p>
  </w:footnote>
  <w:footnote w:id="3">
    <w:p w14:paraId="52A894DB" w14:textId="69DBB471" w:rsidR="00B70344" w:rsidRPr="00A37F5E" w:rsidRDefault="00B70344"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Pr="00A37F5E">
        <w:rPr>
          <w:rFonts w:ascii="Times New Roman" w:hAnsi="Times New Roman" w:cs="Times New Roman"/>
          <w:lang w:val="en-GB"/>
        </w:rPr>
        <w:t>Vetzo</w:t>
      </w:r>
      <w:proofErr w:type="spellEnd"/>
      <w:r w:rsidRPr="00A37F5E">
        <w:rPr>
          <w:rFonts w:ascii="Times New Roman" w:hAnsi="Times New Roman" w:cs="Times New Roman"/>
          <w:lang w:val="en-GB"/>
        </w:rPr>
        <w:t xml:space="preserve">, </w:t>
      </w:r>
      <w:r w:rsidR="00AA5646">
        <w:rPr>
          <w:rFonts w:ascii="Times New Roman" w:hAnsi="Times New Roman" w:cs="Times New Roman"/>
          <w:lang w:val="en-GB"/>
        </w:rPr>
        <w:t>“</w:t>
      </w:r>
      <w:r w:rsidRPr="00A37F5E">
        <w:rPr>
          <w:rFonts w:ascii="Times New Roman" w:hAnsi="Times New Roman" w:cs="Times New Roman"/>
          <w:lang w:val="en-GB"/>
        </w:rPr>
        <w:t xml:space="preserve">The Past, Present and Future of the Ne </w:t>
      </w:r>
      <w:proofErr w:type="spellStart"/>
      <w:r w:rsidRPr="00A37F5E">
        <w:rPr>
          <w:rFonts w:ascii="Times New Roman" w:hAnsi="Times New Roman" w:cs="Times New Roman"/>
          <w:lang w:val="en-GB"/>
        </w:rPr>
        <w:t>Bis</w:t>
      </w:r>
      <w:proofErr w:type="spellEnd"/>
      <w:r w:rsidRPr="00A37F5E">
        <w:rPr>
          <w:rFonts w:ascii="Times New Roman" w:hAnsi="Times New Roman" w:cs="Times New Roman"/>
          <w:lang w:val="en-GB"/>
        </w:rPr>
        <w:t xml:space="preserve"> In Idem Dialogue between the Court of Justice of the European Union and the European Court of Human Rights: The Cases of </w:t>
      </w:r>
      <w:proofErr w:type="spellStart"/>
      <w:r w:rsidRPr="00A37F5E">
        <w:rPr>
          <w:rFonts w:ascii="Times New Roman" w:hAnsi="Times New Roman" w:cs="Times New Roman"/>
          <w:i/>
          <w:lang w:val="en-GB"/>
        </w:rPr>
        <w:t>Menci</w:t>
      </w:r>
      <w:proofErr w:type="spellEnd"/>
      <w:r w:rsidRPr="00A37F5E">
        <w:rPr>
          <w:rFonts w:ascii="Times New Roman" w:hAnsi="Times New Roman" w:cs="Times New Roman"/>
          <w:lang w:val="en-GB"/>
        </w:rPr>
        <w:t xml:space="preserve">, </w:t>
      </w:r>
      <w:proofErr w:type="spellStart"/>
      <w:r w:rsidRPr="00A37F5E">
        <w:rPr>
          <w:rFonts w:ascii="Times New Roman" w:hAnsi="Times New Roman" w:cs="Times New Roman"/>
          <w:i/>
          <w:lang w:val="en-GB"/>
        </w:rPr>
        <w:t>Garlsson</w:t>
      </w:r>
      <w:proofErr w:type="spellEnd"/>
      <w:r w:rsidRPr="00A37F5E">
        <w:rPr>
          <w:rFonts w:ascii="Times New Roman" w:hAnsi="Times New Roman" w:cs="Times New Roman"/>
          <w:lang w:val="en-GB"/>
        </w:rPr>
        <w:t xml:space="preserve"> and </w:t>
      </w:r>
      <w:r w:rsidRPr="00A37F5E">
        <w:rPr>
          <w:rFonts w:ascii="Times New Roman" w:hAnsi="Times New Roman" w:cs="Times New Roman"/>
          <w:i/>
          <w:lang w:val="en-GB"/>
        </w:rPr>
        <w:t>Di Puma</w:t>
      </w:r>
      <w:r w:rsidR="00AA5646">
        <w:rPr>
          <w:rFonts w:ascii="Times New Roman" w:hAnsi="Times New Roman" w:cs="Times New Roman"/>
          <w:lang w:val="en-GB"/>
        </w:rPr>
        <w:t>”</w:t>
      </w:r>
      <w:r w:rsidRPr="00A37F5E">
        <w:rPr>
          <w:rFonts w:ascii="Times New Roman" w:hAnsi="Times New Roman" w:cs="Times New Roman"/>
          <w:lang w:val="en-GB"/>
        </w:rPr>
        <w:t xml:space="preserve">, 11 </w:t>
      </w:r>
      <w:proofErr w:type="spellStart"/>
      <w:r w:rsidRPr="00A37F5E">
        <w:rPr>
          <w:rFonts w:ascii="Times New Roman" w:hAnsi="Times New Roman" w:cs="Times New Roman"/>
          <w:lang w:val="en-GB"/>
        </w:rPr>
        <w:t>REAL</w:t>
      </w:r>
      <w:r w:rsidR="00DF3FAC" w:rsidRPr="00A37F5E">
        <w:rPr>
          <w:rFonts w:ascii="Times New Roman" w:hAnsi="Times New Roman" w:cs="Times New Roman"/>
          <w:lang w:val="en-GB"/>
        </w:rPr>
        <w:t>aw</w:t>
      </w:r>
      <w:proofErr w:type="spellEnd"/>
      <w:r w:rsidRPr="00A37F5E">
        <w:rPr>
          <w:rFonts w:ascii="Times New Roman" w:hAnsi="Times New Roman" w:cs="Times New Roman"/>
          <w:lang w:val="en-GB"/>
        </w:rPr>
        <w:t xml:space="preserve"> (2018), pp</w:t>
      </w:r>
      <w:r w:rsidR="0093712C" w:rsidRPr="00A37F5E">
        <w:rPr>
          <w:rFonts w:ascii="Times New Roman" w:hAnsi="Times New Roman" w:cs="Times New Roman"/>
          <w:lang w:val="en-GB"/>
        </w:rPr>
        <w:t>.</w:t>
      </w:r>
      <w:r w:rsidRPr="00A37F5E">
        <w:rPr>
          <w:rFonts w:ascii="Times New Roman" w:hAnsi="Times New Roman" w:cs="Times New Roman"/>
          <w:lang w:val="en-GB"/>
        </w:rPr>
        <w:t xml:space="preserve"> 55-84.</w:t>
      </w:r>
    </w:p>
  </w:footnote>
  <w:footnote w:id="4">
    <w:p w14:paraId="5C56F3E3" w14:textId="58862BD8" w:rsidR="00DF3FAC" w:rsidRPr="00A37F5E" w:rsidRDefault="00DF3FAC" w:rsidP="00A37F5E">
      <w:pPr>
        <w:pStyle w:val="Voetnoottekst"/>
        <w:jc w:val="both"/>
        <w:rPr>
          <w:rFonts w:ascii="Times New Roman" w:hAnsi="Times New Roman" w:cs="Times New Roman"/>
          <w:i/>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Pr="00A37F5E">
        <w:rPr>
          <w:rFonts w:ascii="Times New Roman" w:hAnsi="Times New Roman" w:cs="Times New Roman"/>
          <w:lang w:val="en-GB"/>
        </w:rPr>
        <w:t>Glas</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Krommendijk</w:t>
      </w:r>
      <w:proofErr w:type="spellEnd"/>
      <w:r w:rsidRPr="00A37F5E">
        <w:rPr>
          <w:rFonts w:ascii="Times New Roman" w:hAnsi="Times New Roman" w:cs="Times New Roman"/>
          <w:lang w:val="en-GB"/>
        </w:rPr>
        <w:t xml:space="preserve">, “From </w:t>
      </w:r>
      <w:r w:rsidRPr="00A37F5E">
        <w:rPr>
          <w:rFonts w:ascii="Times New Roman" w:hAnsi="Times New Roman" w:cs="Times New Roman"/>
          <w:i/>
          <w:lang w:val="en-GB"/>
        </w:rPr>
        <w:t>Opinion 2/13</w:t>
      </w:r>
      <w:r w:rsidRPr="00A37F5E">
        <w:rPr>
          <w:rFonts w:ascii="Times New Roman" w:hAnsi="Times New Roman" w:cs="Times New Roman"/>
          <w:lang w:val="en-GB"/>
        </w:rPr>
        <w:t xml:space="preserve"> to </w:t>
      </w:r>
      <w:proofErr w:type="spellStart"/>
      <w:r w:rsidRPr="00A37F5E">
        <w:rPr>
          <w:rFonts w:ascii="Times New Roman" w:hAnsi="Times New Roman" w:cs="Times New Roman"/>
          <w:i/>
          <w:lang w:val="en-GB"/>
        </w:rPr>
        <w:t>Avotiņš</w:t>
      </w:r>
      <w:proofErr w:type="spellEnd"/>
      <w:r w:rsidRPr="00A37F5E">
        <w:rPr>
          <w:rFonts w:ascii="Times New Roman" w:hAnsi="Times New Roman" w:cs="Times New Roman"/>
          <w:lang w:val="en-GB"/>
        </w:rPr>
        <w:t>: Recent Developments in the Relationship between the Luxembo</w:t>
      </w:r>
      <w:r w:rsidR="00C31ACA" w:rsidRPr="00A37F5E">
        <w:rPr>
          <w:rFonts w:ascii="Times New Roman" w:hAnsi="Times New Roman" w:cs="Times New Roman"/>
          <w:lang w:val="en-GB"/>
        </w:rPr>
        <w:t xml:space="preserve">urg and Strasbourg Courts”, 17 </w:t>
      </w:r>
      <w:r w:rsidRPr="00A37F5E">
        <w:rPr>
          <w:rFonts w:ascii="Times New Roman" w:hAnsi="Times New Roman" w:cs="Times New Roman"/>
          <w:lang w:val="en-GB"/>
        </w:rPr>
        <w:t>H</w:t>
      </w:r>
      <w:r w:rsidR="00C31ACA" w:rsidRPr="00A37F5E">
        <w:rPr>
          <w:rFonts w:ascii="Times New Roman" w:hAnsi="Times New Roman" w:cs="Times New Roman"/>
          <w:lang w:val="en-GB"/>
        </w:rPr>
        <w:t>.</w:t>
      </w:r>
      <w:r w:rsidRPr="00A37F5E">
        <w:rPr>
          <w:rFonts w:ascii="Times New Roman" w:hAnsi="Times New Roman" w:cs="Times New Roman"/>
          <w:lang w:val="en-GB"/>
        </w:rPr>
        <w:t>R</w:t>
      </w:r>
      <w:r w:rsidR="00C31ACA" w:rsidRPr="00A37F5E">
        <w:rPr>
          <w:rFonts w:ascii="Times New Roman" w:hAnsi="Times New Roman" w:cs="Times New Roman"/>
          <w:lang w:val="en-GB"/>
        </w:rPr>
        <w:t>.</w:t>
      </w:r>
      <w:r w:rsidRPr="00A37F5E">
        <w:rPr>
          <w:rFonts w:ascii="Times New Roman" w:hAnsi="Times New Roman" w:cs="Times New Roman"/>
          <w:lang w:val="en-GB"/>
        </w:rPr>
        <w:t>L</w:t>
      </w:r>
      <w:r w:rsidR="00C31ACA" w:rsidRPr="00A37F5E">
        <w:rPr>
          <w:rFonts w:ascii="Times New Roman" w:hAnsi="Times New Roman" w:cs="Times New Roman"/>
          <w:lang w:val="en-GB"/>
        </w:rPr>
        <w:t xml:space="preserve">. </w:t>
      </w:r>
      <w:r w:rsidRPr="00A37F5E">
        <w:rPr>
          <w:rFonts w:ascii="Times New Roman" w:hAnsi="Times New Roman" w:cs="Times New Roman"/>
          <w:lang w:val="en-GB"/>
        </w:rPr>
        <w:t>R</w:t>
      </w:r>
      <w:r w:rsidR="00C31ACA" w:rsidRPr="00A37F5E">
        <w:rPr>
          <w:rFonts w:ascii="Times New Roman" w:hAnsi="Times New Roman" w:cs="Times New Roman"/>
          <w:lang w:val="en-GB"/>
        </w:rPr>
        <w:t>ev.</w:t>
      </w:r>
      <w:r w:rsidRPr="00A37F5E">
        <w:rPr>
          <w:rFonts w:ascii="Times New Roman" w:hAnsi="Times New Roman" w:cs="Times New Roman"/>
          <w:lang w:val="en-GB"/>
        </w:rPr>
        <w:t xml:space="preserve"> (2017), pp. 567-587.</w:t>
      </w:r>
    </w:p>
  </w:footnote>
  <w:footnote w:id="5">
    <w:p w14:paraId="22EA0B34" w14:textId="3789689B" w:rsidR="00007928" w:rsidRPr="00A37F5E" w:rsidRDefault="00007928"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In this case note, European Court of Justice (or ECJ) and General Court (or GC) will be used to </w:t>
      </w:r>
      <w:r w:rsidR="006E08A0" w:rsidRPr="00A37F5E">
        <w:rPr>
          <w:rFonts w:ascii="Times New Roman" w:hAnsi="Times New Roman" w:cs="Times New Roman"/>
          <w:lang w:val="en-GB"/>
        </w:rPr>
        <w:t xml:space="preserve">refer </w:t>
      </w:r>
      <w:r w:rsidRPr="00A37F5E">
        <w:rPr>
          <w:rFonts w:ascii="Times New Roman" w:hAnsi="Times New Roman" w:cs="Times New Roman"/>
          <w:lang w:val="en-GB"/>
        </w:rPr>
        <w:t>specifically to those institutions. Court of Justice of the European Union (or CJEU)</w:t>
      </w:r>
      <w:r w:rsidR="006E08A0" w:rsidRPr="00A37F5E">
        <w:rPr>
          <w:rFonts w:ascii="Times New Roman" w:hAnsi="Times New Roman" w:cs="Times New Roman"/>
          <w:lang w:val="en-GB"/>
        </w:rPr>
        <w:t xml:space="preserve"> will be used when referring to both institutions at the same time</w:t>
      </w:r>
      <w:r w:rsidRPr="00A37F5E">
        <w:rPr>
          <w:rFonts w:ascii="Times New Roman" w:hAnsi="Times New Roman" w:cs="Times New Roman"/>
          <w:lang w:val="en-GB"/>
        </w:rPr>
        <w:t>.</w:t>
      </w:r>
    </w:p>
  </w:footnote>
  <w:footnote w:id="6">
    <w:p w14:paraId="465DDFBF" w14:textId="14458DA3" w:rsidR="00EB5F3F" w:rsidRPr="00EB5F3F" w:rsidRDefault="00EB5F3F" w:rsidP="00EB5F3F">
      <w:pPr>
        <w:pStyle w:val="Voetnoottekst"/>
        <w:jc w:val="both"/>
        <w:rPr>
          <w:rFonts w:ascii="Times New Roman" w:hAnsi="Times New Roman" w:cs="Times New Roman"/>
          <w:lang w:val="en-GB"/>
        </w:rPr>
      </w:pPr>
      <w:r w:rsidRPr="00EB5F3F">
        <w:rPr>
          <w:rStyle w:val="Voetnootmarkering"/>
          <w:rFonts w:ascii="Times New Roman" w:hAnsi="Times New Roman" w:cs="Times New Roman"/>
        </w:rPr>
        <w:footnoteRef/>
      </w:r>
      <w:r w:rsidRPr="00EB5F3F">
        <w:rPr>
          <w:rFonts w:ascii="Times New Roman" w:hAnsi="Times New Roman" w:cs="Times New Roman"/>
          <w:lang w:val="en-GB"/>
        </w:rPr>
        <w:t xml:space="preserve"> ECtHR, </w:t>
      </w:r>
      <w:proofErr w:type="spellStart"/>
      <w:r w:rsidRPr="00EB5F3F">
        <w:rPr>
          <w:rFonts w:ascii="Times New Roman" w:hAnsi="Times New Roman" w:cs="Times New Roman"/>
          <w:i/>
          <w:lang w:val="en-GB"/>
        </w:rPr>
        <w:t>Guðmundur</w:t>
      </w:r>
      <w:proofErr w:type="spellEnd"/>
      <w:r w:rsidRPr="00EB5F3F">
        <w:rPr>
          <w:rFonts w:ascii="Times New Roman" w:hAnsi="Times New Roman" w:cs="Times New Roman"/>
          <w:i/>
          <w:lang w:val="en-GB"/>
        </w:rPr>
        <w:t xml:space="preserve"> </w:t>
      </w:r>
      <w:proofErr w:type="spellStart"/>
      <w:r w:rsidRPr="00EB5F3F">
        <w:rPr>
          <w:rFonts w:ascii="Times New Roman" w:hAnsi="Times New Roman" w:cs="Times New Roman"/>
          <w:i/>
          <w:lang w:val="en-GB"/>
        </w:rPr>
        <w:t>Andri</w:t>
      </w:r>
      <w:proofErr w:type="spellEnd"/>
      <w:r w:rsidRPr="00EB5F3F">
        <w:rPr>
          <w:rFonts w:ascii="Times New Roman" w:hAnsi="Times New Roman" w:cs="Times New Roman"/>
          <w:i/>
          <w:lang w:val="en-GB"/>
        </w:rPr>
        <w:t xml:space="preserve"> </w:t>
      </w:r>
      <w:proofErr w:type="spellStart"/>
      <w:r w:rsidRPr="00EB5F3F">
        <w:rPr>
          <w:rFonts w:ascii="Times New Roman" w:hAnsi="Times New Roman" w:cs="Times New Roman"/>
          <w:i/>
          <w:lang w:val="en-GB"/>
        </w:rPr>
        <w:t>Ástráðsson</w:t>
      </w:r>
      <w:proofErr w:type="spellEnd"/>
      <w:r w:rsidRPr="00EB5F3F">
        <w:rPr>
          <w:rFonts w:ascii="Times New Roman" w:hAnsi="Times New Roman" w:cs="Times New Roman"/>
          <w:lang w:val="en-GB"/>
        </w:rPr>
        <w:t xml:space="preserve"> v. </w:t>
      </w:r>
      <w:r w:rsidRPr="00EB5F3F">
        <w:rPr>
          <w:rFonts w:ascii="Times New Roman" w:hAnsi="Times New Roman" w:cs="Times New Roman"/>
          <w:i/>
          <w:lang w:val="en-GB"/>
        </w:rPr>
        <w:t>Iceland</w:t>
      </w:r>
      <w:r w:rsidRPr="00EB5F3F">
        <w:rPr>
          <w:rFonts w:ascii="Times New Roman" w:hAnsi="Times New Roman" w:cs="Times New Roman"/>
          <w:lang w:val="en-GB"/>
        </w:rPr>
        <w:t>, Appl. No. 26374/18, judgment of 12 March 2019.</w:t>
      </w:r>
    </w:p>
  </w:footnote>
  <w:footnote w:id="7">
    <w:p w14:paraId="40C2D144" w14:textId="6CE0ACCA" w:rsidR="00085855" w:rsidRPr="00A37F5E" w:rsidRDefault="00085855" w:rsidP="00A37F5E">
      <w:pPr>
        <w:pStyle w:val="Voetnoottekst"/>
        <w:jc w:val="both"/>
        <w:rPr>
          <w:rFonts w:ascii="Times New Roman" w:hAnsi="Times New Roman" w:cs="Times New Roman"/>
          <w:lang w:val="en-GB"/>
        </w:rPr>
      </w:pPr>
      <w:r w:rsidRPr="00EB5F3F">
        <w:rPr>
          <w:rStyle w:val="Voetnootmarkering"/>
          <w:rFonts w:ascii="Times New Roman" w:hAnsi="Times New Roman" w:cs="Times New Roman"/>
        </w:rPr>
        <w:footnoteRef/>
      </w:r>
      <w:r w:rsidRPr="00EB5F3F">
        <w:rPr>
          <w:rFonts w:ascii="Times New Roman" w:hAnsi="Times New Roman" w:cs="Times New Roman"/>
          <w:lang w:val="en-GB"/>
        </w:rPr>
        <w:t xml:space="preserve"> Council</w:t>
      </w:r>
      <w:r w:rsidRPr="00A37F5E">
        <w:rPr>
          <w:rFonts w:ascii="Times New Roman" w:hAnsi="Times New Roman" w:cs="Times New Roman"/>
          <w:lang w:val="en-GB"/>
        </w:rPr>
        <w:t xml:space="preserve">, Public call for applications for the appointment of judges to the European Civil Service Tribunal, </w:t>
      </w:r>
      <w:r w:rsidRPr="00A37F5E">
        <w:rPr>
          <w:rFonts w:ascii="Times New Roman" w:hAnsi="Times New Roman" w:cs="Times New Roman"/>
          <w:i/>
          <w:lang w:val="en-GB"/>
        </w:rPr>
        <w:t>OJ</w:t>
      </w:r>
      <w:r w:rsidR="004E720B" w:rsidRPr="00A37F5E">
        <w:rPr>
          <w:rFonts w:ascii="Times New Roman" w:hAnsi="Times New Roman" w:cs="Times New Roman"/>
          <w:lang w:val="en-GB"/>
        </w:rPr>
        <w:t xml:space="preserve"> 2013 C 353, p. 11.</w:t>
      </w:r>
    </w:p>
  </w:footnote>
  <w:footnote w:id="8">
    <w:p w14:paraId="0CE2F66C" w14:textId="2D11DDA3"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910DE5" w:rsidRPr="00A37F5E">
        <w:rPr>
          <w:rFonts w:ascii="Times New Roman" w:hAnsi="Times New Roman" w:cs="Times New Roman"/>
          <w:lang w:val="en-GB"/>
        </w:rPr>
        <w:t>Council Decision</w:t>
      </w:r>
      <w:r w:rsidRPr="00A37F5E">
        <w:rPr>
          <w:rFonts w:ascii="Times New Roman" w:hAnsi="Times New Roman" w:cs="Times New Roman"/>
          <w:lang w:val="en-GB"/>
        </w:rPr>
        <w:t xml:space="preserve"> (EU, </w:t>
      </w:r>
      <w:proofErr w:type="spellStart"/>
      <w:r w:rsidRPr="00A37F5E">
        <w:rPr>
          <w:rFonts w:ascii="Times New Roman" w:hAnsi="Times New Roman" w:cs="Times New Roman"/>
          <w:lang w:val="en-GB"/>
        </w:rPr>
        <w:t>Euratom</w:t>
      </w:r>
      <w:proofErr w:type="spellEnd"/>
      <w:r w:rsidRPr="00A37F5E">
        <w:rPr>
          <w:rFonts w:ascii="Times New Roman" w:hAnsi="Times New Roman" w:cs="Times New Roman"/>
          <w:lang w:val="en-GB"/>
        </w:rPr>
        <w:t xml:space="preserve">) 2016/454 of 22 March 2016 appointing three Judges to the European Union Civil Service Tribunal, </w:t>
      </w:r>
      <w:r w:rsidRPr="00A37F5E">
        <w:rPr>
          <w:rFonts w:ascii="Times New Roman" w:hAnsi="Times New Roman" w:cs="Times New Roman"/>
          <w:i/>
          <w:lang w:val="en-GB"/>
        </w:rPr>
        <w:t>OJ</w:t>
      </w:r>
      <w:r w:rsidRPr="00A37F5E">
        <w:rPr>
          <w:rFonts w:ascii="Times New Roman" w:hAnsi="Times New Roman" w:cs="Times New Roman"/>
          <w:lang w:val="en-GB"/>
        </w:rPr>
        <w:t xml:space="preserve"> 2016 L 79, p. 30.</w:t>
      </w:r>
    </w:p>
  </w:footnote>
  <w:footnote w:id="9">
    <w:p w14:paraId="7A14431B" w14:textId="3E694C09"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T-646/16 P, </w:t>
      </w:r>
      <w:r w:rsidRPr="00A37F5E">
        <w:rPr>
          <w:rFonts w:ascii="Times New Roman" w:hAnsi="Times New Roman" w:cs="Times New Roman"/>
          <w:i/>
          <w:lang w:val="fr-BE"/>
        </w:rPr>
        <w:t xml:space="preserve">Simpson </w:t>
      </w:r>
      <w:r w:rsidRPr="00A37F5E">
        <w:rPr>
          <w:rFonts w:ascii="Times New Roman" w:hAnsi="Times New Roman" w:cs="Times New Roman"/>
          <w:lang w:val="fr-BE"/>
        </w:rPr>
        <w:t>v</w:t>
      </w:r>
      <w:r w:rsidR="00910DE5" w:rsidRPr="00A37F5E">
        <w:rPr>
          <w:rFonts w:ascii="Times New Roman" w:hAnsi="Times New Roman" w:cs="Times New Roman"/>
          <w:lang w:val="fr-BE"/>
        </w:rPr>
        <w:t>.</w:t>
      </w:r>
      <w:r w:rsidRPr="00A37F5E">
        <w:rPr>
          <w:rFonts w:ascii="Times New Roman" w:hAnsi="Times New Roman" w:cs="Times New Roman"/>
          <w:lang w:val="fr-BE"/>
        </w:rPr>
        <w:t xml:space="preserve"> </w:t>
      </w:r>
      <w:r w:rsidRPr="00A37F5E">
        <w:rPr>
          <w:rFonts w:ascii="Times New Roman" w:hAnsi="Times New Roman" w:cs="Times New Roman"/>
          <w:i/>
          <w:lang w:val="fr-BE"/>
        </w:rPr>
        <w:t>Council</w:t>
      </w:r>
      <w:r w:rsidRPr="00A37F5E">
        <w:rPr>
          <w:rFonts w:ascii="Times New Roman" w:hAnsi="Times New Roman" w:cs="Times New Roman"/>
          <w:lang w:val="fr-BE"/>
        </w:rPr>
        <w:t xml:space="preserve">, EU:T:2018:493; </w:t>
      </w:r>
      <w:r w:rsidR="00910DE5" w:rsidRPr="00A37F5E">
        <w:rPr>
          <w:rFonts w:ascii="Times New Roman" w:hAnsi="Times New Roman" w:cs="Times New Roman"/>
          <w:lang w:val="fr-BE"/>
        </w:rPr>
        <w:t xml:space="preserve">Case T-693/16 P, </w:t>
      </w:r>
      <w:r w:rsidR="00910DE5" w:rsidRPr="00A37F5E">
        <w:rPr>
          <w:rFonts w:ascii="Times New Roman" w:hAnsi="Times New Roman" w:cs="Times New Roman"/>
          <w:i/>
          <w:lang w:val="fr-BE"/>
        </w:rPr>
        <w:t xml:space="preserve">HG </w:t>
      </w:r>
      <w:r w:rsidR="00910DE5" w:rsidRPr="00A37F5E">
        <w:rPr>
          <w:rFonts w:ascii="Times New Roman" w:hAnsi="Times New Roman" w:cs="Times New Roman"/>
          <w:lang w:val="fr-BE"/>
        </w:rPr>
        <w:t xml:space="preserve">v. </w:t>
      </w:r>
      <w:r w:rsidR="00910DE5" w:rsidRPr="00A37F5E">
        <w:rPr>
          <w:rFonts w:ascii="Times New Roman" w:hAnsi="Times New Roman" w:cs="Times New Roman"/>
          <w:i/>
          <w:lang w:val="fr-BE"/>
        </w:rPr>
        <w:t>Commission</w:t>
      </w:r>
      <w:r w:rsidR="00910DE5" w:rsidRPr="00A37F5E">
        <w:rPr>
          <w:rFonts w:ascii="Times New Roman" w:hAnsi="Times New Roman" w:cs="Times New Roman"/>
          <w:lang w:val="fr-BE"/>
        </w:rPr>
        <w:t>, EU:T:2018:492.</w:t>
      </w:r>
    </w:p>
  </w:footnote>
  <w:footnote w:id="10">
    <w:p w14:paraId="765F53A6" w14:textId="543EEE8B"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T-639/16 P, </w:t>
      </w:r>
      <w:r w:rsidRPr="00A37F5E">
        <w:rPr>
          <w:rFonts w:ascii="Times New Roman" w:hAnsi="Times New Roman" w:cs="Times New Roman"/>
          <w:i/>
          <w:lang w:val="fr-BE"/>
        </w:rPr>
        <w:t xml:space="preserve">FV </w:t>
      </w:r>
      <w:r w:rsidRPr="00A37F5E">
        <w:rPr>
          <w:rFonts w:ascii="Times New Roman" w:hAnsi="Times New Roman" w:cs="Times New Roman"/>
          <w:lang w:val="fr-BE"/>
        </w:rPr>
        <w:t>v</w:t>
      </w:r>
      <w:r w:rsidR="00910DE5" w:rsidRPr="00A37F5E">
        <w:rPr>
          <w:rFonts w:ascii="Times New Roman" w:hAnsi="Times New Roman" w:cs="Times New Roman"/>
          <w:lang w:val="fr-BE"/>
        </w:rPr>
        <w:t>.</w:t>
      </w:r>
      <w:r w:rsidRPr="00A37F5E">
        <w:rPr>
          <w:rFonts w:ascii="Times New Roman" w:hAnsi="Times New Roman" w:cs="Times New Roman"/>
          <w:i/>
          <w:lang w:val="fr-BE"/>
        </w:rPr>
        <w:t xml:space="preserve"> Council</w:t>
      </w:r>
      <w:r w:rsidRPr="00A37F5E">
        <w:rPr>
          <w:rFonts w:ascii="Times New Roman" w:hAnsi="Times New Roman" w:cs="Times New Roman"/>
          <w:lang w:val="fr-BE"/>
        </w:rPr>
        <w:t xml:space="preserve">, EU:T:2018:22, paras 67-78. </w:t>
      </w:r>
      <w:r w:rsidR="0039636C" w:rsidRPr="00A37F5E">
        <w:rPr>
          <w:rFonts w:ascii="Times New Roman" w:hAnsi="Times New Roman" w:cs="Times New Roman"/>
          <w:lang w:val="en-GB"/>
        </w:rPr>
        <w:t xml:space="preserve">Seeing as the First Advocate General took the view that this judgment did not constitute a serious </w:t>
      </w:r>
      <w:r w:rsidR="0039636C" w:rsidRPr="00A37F5E">
        <w:rPr>
          <w:rFonts w:ascii="Times New Roman" w:hAnsi="Times New Roman" w:cs="Times New Roman"/>
          <w:color w:val="000000" w:themeColor="text1"/>
          <w:lang w:val="en-GB"/>
        </w:rPr>
        <w:t>risk that the unity or consistency of EU law may be affected, t</w:t>
      </w:r>
      <w:r w:rsidR="00910DE5" w:rsidRPr="00A37F5E">
        <w:rPr>
          <w:rFonts w:ascii="Times New Roman" w:hAnsi="Times New Roman" w:cs="Times New Roman"/>
          <w:color w:val="000000" w:themeColor="text1"/>
          <w:lang w:val="en-GB"/>
        </w:rPr>
        <w:t>he Review Chamber of the Court of Justice decided not to review this</w:t>
      </w:r>
      <w:r w:rsidR="0039636C" w:rsidRPr="00A37F5E">
        <w:rPr>
          <w:rFonts w:ascii="Times New Roman" w:hAnsi="Times New Roman" w:cs="Times New Roman"/>
          <w:color w:val="000000" w:themeColor="text1"/>
          <w:lang w:val="en-GB"/>
        </w:rPr>
        <w:t xml:space="preserve"> case</w:t>
      </w:r>
      <w:r w:rsidRPr="00A37F5E">
        <w:rPr>
          <w:rFonts w:ascii="Times New Roman" w:hAnsi="Times New Roman" w:cs="Times New Roman"/>
          <w:color w:val="000000" w:themeColor="text1"/>
          <w:lang w:val="en-GB"/>
        </w:rPr>
        <w:t xml:space="preserve">. </w:t>
      </w:r>
      <w:r w:rsidR="0039636C" w:rsidRPr="00A37F5E">
        <w:rPr>
          <w:rFonts w:ascii="Times New Roman" w:hAnsi="Times New Roman" w:cs="Times New Roman"/>
          <w:color w:val="000000" w:themeColor="text1"/>
          <w:lang w:val="en-GB"/>
        </w:rPr>
        <w:t xml:space="preserve">See: Case C-141/18 RX, </w:t>
      </w:r>
      <w:r w:rsidR="0039636C" w:rsidRPr="00A37F5E">
        <w:rPr>
          <w:rFonts w:ascii="Times New Roman" w:hAnsi="Times New Roman" w:cs="Times New Roman"/>
          <w:i/>
          <w:color w:val="000000" w:themeColor="text1"/>
          <w:lang w:val="en-GB"/>
        </w:rPr>
        <w:t xml:space="preserve">Review FV </w:t>
      </w:r>
      <w:r w:rsidR="0039636C" w:rsidRPr="00A37F5E">
        <w:rPr>
          <w:rFonts w:ascii="Times New Roman" w:hAnsi="Times New Roman" w:cs="Times New Roman"/>
          <w:color w:val="000000" w:themeColor="text1"/>
          <w:lang w:val="en-GB"/>
        </w:rPr>
        <w:t xml:space="preserve">v. </w:t>
      </w:r>
      <w:r w:rsidR="0039636C" w:rsidRPr="00A37F5E">
        <w:rPr>
          <w:rFonts w:ascii="Times New Roman" w:hAnsi="Times New Roman" w:cs="Times New Roman"/>
          <w:i/>
          <w:color w:val="000000" w:themeColor="text1"/>
          <w:lang w:val="en-GB"/>
        </w:rPr>
        <w:t>Council</w:t>
      </w:r>
      <w:r w:rsidR="0039636C" w:rsidRPr="00A37F5E">
        <w:rPr>
          <w:rFonts w:ascii="Times New Roman" w:hAnsi="Times New Roman" w:cs="Times New Roman"/>
          <w:color w:val="000000" w:themeColor="text1"/>
          <w:lang w:val="en-GB"/>
        </w:rPr>
        <w:t>, EU:C:2018:218.</w:t>
      </w:r>
      <w:r w:rsidR="005A3E5D" w:rsidRPr="00A37F5E">
        <w:rPr>
          <w:rFonts w:ascii="Times New Roman" w:hAnsi="Times New Roman" w:cs="Times New Roman"/>
          <w:color w:val="000000" w:themeColor="text1"/>
          <w:lang w:val="en-GB"/>
        </w:rPr>
        <w:t xml:space="preserve"> Given that the reasoning of the General Court in the cases of </w:t>
      </w:r>
      <w:r w:rsidR="005A3E5D" w:rsidRPr="00A37F5E">
        <w:rPr>
          <w:rFonts w:ascii="Times New Roman" w:hAnsi="Times New Roman" w:cs="Times New Roman"/>
          <w:i/>
          <w:color w:val="000000" w:themeColor="text1"/>
          <w:lang w:val="en-GB"/>
        </w:rPr>
        <w:t xml:space="preserve">Simpson </w:t>
      </w:r>
      <w:r w:rsidR="005A3E5D" w:rsidRPr="00A37F5E">
        <w:rPr>
          <w:rFonts w:ascii="Times New Roman" w:hAnsi="Times New Roman" w:cs="Times New Roman"/>
          <w:color w:val="000000" w:themeColor="text1"/>
          <w:lang w:val="en-GB"/>
        </w:rPr>
        <w:t xml:space="preserve">and </w:t>
      </w:r>
      <w:r w:rsidR="005A3E5D" w:rsidRPr="00A37F5E">
        <w:rPr>
          <w:rFonts w:ascii="Times New Roman" w:hAnsi="Times New Roman" w:cs="Times New Roman"/>
          <w:i/>
          <w:color w:val="000000" w:themeColor="text1"/>
          <w:lang w:val="en-GB"/>
        </w:rPr>
        <w:t>HG</w:t>
      </w:r>
      <w:r w:rsidR="005A3E5D" w:rsidRPr="00A37F5E">
        <w:rPr>
          <w:rFonts w:ascii="Times New Roman" w:hAnsi="Times New Roman" w:cs="Times New Roman"/>
          <w:color w:val="000000" w:themeColor="text1"/>
          <w:lang w:val="en-GB"/>
        </w:rPr>
        <w:t xml:space="preserve"> completely rely on its ruling in </w:t>
      </w:r>
      <w:r w:rsidR="005A3E5D" w:rsidRPr="00A37F5E">
        <w:rPr>
          <w:rFonts w:ascii="Times New Roman" w:hAnsi="Times New Roman" w:cs="Times New Roman"/>
          <w:i/>
          <w:color w:val="000000" w:themeColor="text1"/>
          <w:lang w:val="en-GB"/>
        </w:rPr>
        <w:t>FV</w:t>
      </w:r>
      <w:r w:rsidR="005A3E5D" w:rsidRPr="00A37F5E">
        <w:rPr>
          <w:rFonts w:ascii="Times New Roman" w:hAnsi="Times New Roman" w:cs="Times New Roman"/>
          <w:color w:val="000000" w:themeColor="text1"/>
          <w:lang w:val="en-GB"/>
        </w:rPr>
        <w:t>, it can only be concluded from the ECJ’</w:t>
      </w:r>
      <w:r w:rsidR="004E720B" w:rsidRPr="00A37F5E">
        <w:rPr>
          <w:rFonts w:ascii="Times New Roman" w:hAnsi="Times New Roman" w:cs="Times New Roman"/>
          <w:color w:val="000000" w:themeColor="text1"/>
          <w:lang w:val="en-GB"/>
        </w:rPr>
        <w:t>s judgment</w:t>
      </w:r>
      <w:r w:rsidR="005A3E5D" w:rsidRPr="00A37F5E">
        <w:rPr>
          <w:rFonts w:ascii="Times New Roman" w:hAnsi="Times New Roman" w:cs="Times New Roman"/>
          <w:color w:val="000000" w:themeColor="text1"/>
          <w:lang w:val="en-GB"/>
        </w:rPr>
        <w:t xml:space="preserve"> that the General Court’s ruling in </w:t>
      </w:r>
      <w:r w:rsidR="005A3E5D" w:rsidRPr="00A37F5E">
        <w:rPr>
          <w:rFonts w:ascii="Times New Roman" w:hAnsi="Times New Roman" w:cs="Times New Roman"/>
          <w:i/>
          <w:color w:val="000000" w:themeColor="text1"/>
          <w:lang w:val="en-GB"/>
        </w:rPr>
        <w:t xml:space="preserve">FV </w:t>
      </w:r>
      <w:r w:rsidR="005A3E5D" w:rsidRPr="00A37F5E">
        <w:rPr>
          <w:rFonts w:ascii="Times New Roman" w:hAnsi="Times New Roman" w:cs="Times New Roman"/>
          <w:color w:val="000000" w:themeColor="text1"/>
          <w:lang w:val="en-GB"/>
        </w:rPr>
        <w:t>also erred in law.</w:t>
      </w:r>
    </w:p>
  </w:footnote>
  <w:footnote w:id="11">
    <w:p w14:paraId="3F93C193" w14:textId="10F840CC"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EF6020" w:rsidRPr="00A37F5E">
        <w:rPr>
          <w:rFonts w:ascii="Times New Roman" w:hAnsi="Times New Roman" w:cs="Times New Roman"/>
          <w:lang w:val="en-GB"/>
        </w:rPr>
        <w:t xml:space="preserve">Joined Cases C-341/06 P and 342/06 P, </w:t>
      </w:r>
      <w:proofErr w:type="spellStart"/>
      <w:r w:rsidR="00EF6020" w:rsidRPr="00A37F5E">
        <w:rPr>
          <w:rFonts w:ascii="Times New Roman" w:hAnsi="Times New Roman" w:cs="Times New Roman"/>
          <w:i/>
          <w:lang w:val="en-GB"/>
        </w:rPr>
        <w:t>Chronopost</w:t>
      </w:r>
      <w:proofErr w:type="spellEnd"/>
      <w:r w:rsidR="00EF6020" w:rsidRPr="00A37F5E">
        <w:rPr>
          <w:rFonts w:ascii="Times New Roman" w:hAnsi="Times New Roman" w:cs="Times New Roman"/>
          <w:i/>
          <w:lang w:val="en-GB"/>
        </w:rPr>
        <w:t xml:space="preserve"> and La Poste </w:t>
      </w:r>
      <w:r w:rsidR="00EF6020" w:rsidRPr="00A37F5E">
        <w:rPr>
          <w:rFonts w:ascii="Times New Roman" w:hAnsi="Times New Roman" w:cs="Times New Roman"/>
          <w:lang w:val="en-GB"/>
        </w:rPr>
        <w:t xml:space="preserve">v. </w:t>
      </w:r>
      <w:r w:rsidR="00EF6020" w:rsidRPr="00A37F5E">
        <w:rPr>
          <w:rFonts w:ascii="Times New Roman" w:hAnsi="Times New Roman" w:cs="Times New Roman"/>
          <w:i/>
          <w:lang w:val="en-GB"/>
        </w:rPr>
        <w:t xml:space="preserve">UFEX </w:t>
      </w:r>
      <w:proofErr w:type="spellStart"/>
      <w:r w:rsidR="00EF6020" w:rsidRPr="00A37F5E">
        <w:rPr>
          <w:rFonts w:ascii="Times New Roman" w:hAnsi="Times New Roman" w:cs="Times New Roman"/>
          <w:i/>
          <w:lang w:val="en-GB"/>
        </w:rPr>
        <w:t>a.o.</w:t>
      </w:r>
      <w:proofErr w:type="spellEnd"/>
      <w:r w:rsidR="00EF6020" w:rsidRPr="00A37F5E">
        <w:rPr>
          <w:rFonts w:ascii="Times New Roman" w:hAnsi="Times New Roman" w:cs="Times New Roman"/>
          <w:lang w:val="en-GB"/>
        </w:rPr>
        <w:t xml:space="preserve">, EU:C:2008:375. </w:t>
      </w:r>
    </w:p>
  </w:footnote>
  <w:footnote w:id="12">
    <w:p w14:paraId="4218F66C" w14:textId="03F5705F"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T-646/16 P, </w:t>
      </w:r>
      <w:r w:rsidRPr="00A37F5E">
        <w:rPr>
          <w:rFonts w:ascii="Times New Roman" w:hAnsi="Times New Roman" w:cs="Times New Roman"/>
          <w:i/>
          <w:lang w:val="fr-BE"/>
        </w:rPr>
        <w:t xml:space="preserve">Simpson </w:t>
      </w:r>
      <w:r w:rsidRPr="00A37F5E">
        <w:rPr>
          <w:rFonts w:ascii="Times New Roman" w:hAnsi="Times New Roman" w:cs="Times New Roman"/>
          <w:lang w:val="fr-BE"/>
        </w:rPr>
        <w:t>v</w:t>
      </w:r>
      <w:r w:rsidR="00910DE5" w:rsidRPr="00A37F5E">
        <w:rPr>
          <w:rFonts w:ascii="Times New Roman" w:hAnsi="Times New Roman" w:cs="Times New Roman"/>
          <w:lang w:val="fr-BE"/>
        </w:rPr>
        <w:t>.</w:t>
      </w:r>
      <w:r w:rsidRPr="00A37F5E">
        <w:rPr>
          <w:rFonts w:ascii="Times New Roman" w:hAnsi="Times New Roman" w:cs="Times New Roman"/>
          <w:lang w:val="fr-BE"/>
        </w:rPr>
        <w:t xml:space="preserve"> </w:t>
      </w:r>
      <w:r w:rsidRPr="00A37F5E">
        <w:rPr>
          <w:rFonts w:ascii="Times New Roman" w:hAnsi="Times New Roman" w:cs="Times New Roman"/>
          <w:i/>
          <w:lang w:val="fr-BE"/>
        </w:rPr>
        <w:t>Council</w:t>
      </w:r>
      <w:r w:rsidRPr="00A37F5E">
        <w:rPr>
          <w:rFonts w:ascii="Times New Roman" w:hAnsi="Times New Roman" w:cs="Times New Roman"/>
          <w:lang w:val="fr-BE"/>
        </w:rPr>
        <w:t>, EU:T:2018:493, para</w:t>
      </w:r>
      <w:r w:rsidR="00EF6020" w:rsidRPr="00A37F5E">
        <w:rPr>
          <w:rFonts w:ascii="Times New Roman" w:hAnsi="Times New Roman" w:cs="Times New Roman"/>
          <w:lang w:val="fr-BE"/>
        </w:rPr>
        <w:t>s 38 and</w:t>
      </w:r>
      <w:r w:rsidRPr="00A37F5E">
        <w:rPr>
          <w:rFonts w:ascii="Times New Roman" w:hAnsi="Times New Roman" w:cs="Times New Roman"/>
          <w:lang w:val="fr-BE"/>
        </w:rPr>
        <w:t xml:space="preserve"> 45; </w:t>
      </w:r>
      <w:r w:rsidR="00EF6020" w:rsidRPr="00A37F5E">
        <w:rPr>
          <w:rFonts w:ascii="Times New Roman" w:hAnsi="Times New Roman" w:cs="Times New Roman"/>
          <w:lang w:val="fr-BE"/>
        </w:rPr>
        <w:t xml:space="preserve">Case T-693/16 P, </w:t>
      </w:r>
      <w:r w:rsidR="00EF6020" w:rsidRPr="00A37F5E">
        <w:rPr>
          <w:rFonts w:ascii="Times New Roman" w:hAnsi="Times New Roman" w:cs="Times New Roman"/>
          <w:i/>
          <w:lang w:val="fr-BE"/>
        </w:rPr>
        <w:t xml:space="preserve">HG </w:t>
      </w:r>
      <w:r w:rsidR="00EF6020" w:rsidRPr="00A37F5E">
        <w:rPr>
          <w:rFonts w:ascii="Times New Roman" w:hAnsi="Times New Roman" w:cs="Times New Roman"/>
          <w:lang w:val="fr-BE"/>
        </w:rPr>
        <w:t xml:space="preserve">v. </w:t>
      </w:r>
      <w:r w:rsidR="00EF6020" w:rsidRPr="00A37F5E">
        <w:rPr>
          <w:rFonts w:ascii="Times New Roman" w:hAnsi="Times New Roman" w:cs="Times New Roman"/>
          <w:i/>
          <w:lang w:val="fr-BE"/>
        </w:rPr>
        <w:t>Commission</w:t>
      </w:r>
      <w:r w:rsidR="00EF6020" w:rsidRPr="00A37F5E">
        <w:rPr>
          <w:rFonts w:ascii="Times New Roman" w:hAnsi="Times New Roman" w:cs="Times New Roman"/>
          <w:lang w:val="fr-BE"/>
        </w:rPr>
        <w:t>, EU:T:2018:492, para</w:t>
      </w:r>
      <w:r w:rsidRPr="00A37F5E">
        <w:rPr>
          <w:rFonts w:ascii="Times New Roman" w:hAnsi="Times New Roman" w:cs="Times New Roman"/>
          <w:lang w:val="fr-BE"/>
        </w:rPr>
        <w:t xml:space="preserve"> </w:t>
      </w:r>
      <w:r w:rsidR="00EF6020" w:rsidRPr="00A37F5E">
        <w:rPr>
          <w:rFonts w:ascii="Times New Roman" w:hAnsi="Times New Roman" w:cs="Times New Roman"/>
          <w:lang w:val="fr-BE"/>
        </w:rPr>
        <w:t>39</w:t>
      </w:r>
      <w:r w:rsidR="004E720B" w:rsidRPr="00A37F5E">
        <w:rPr>
          <w:rFonts w:ascii="Times New Roman" w:hAnsi="Times New Roman" w:cs="Times New Roman"/>
          <w:lang w:val="fr-BE"/>
        </w:rPr>
        <w:t>;</w:t>
      </w:r>
      <w:r w:rsidR="00EF6020" w:rsidRPr="00A37F5E">
        <w:rPr>
          <w:rFonts w:ascii="Times New Roman" w:hAnsi="Times New Roman" w:cs="Times New Roman"/>
          <w:lang w:val="fr-BE"/>
        </w:rPr>
        <w:t xml:space="preserve"> </w:t>
      </w:r>
      <w:r w:rsidRPr="00A37F5E">
        <w:rPr>
          <w:rFonts w:ascii="Times New Roman" w:hAnsi="Times New Roman" w:cs="Times New Roman"/>
          <w:lang w:val="fr-BE"/>
        </w:rPr>
        <w:t xml:space="preserve">Case T-639/16 P, </w:t>
      </w:r>
      <w:r w:rsidRPr="00A37F5E">
        <w:rPr>
          <w:rFonts w:ascii="Times New Roman" w:hAnsi="Times New Roman" w:cs="Times New Roman"/>
          <w:i/>
          <w:lang w:val="fr-BE"/>
        </w:rPr>
        <w:t xml:space="preserve">FV </w:t>
      </w:r>
      <w:r w:rsidRPr="00A37F5E">
        <w:rPr>
          <w:rFonts w:ascii="Times New Roman" w:hAnsi="Times New Roman" w:cs="Times New Roman"/>
          <w:lang w:val="fr-BE"/>
        </w:rPr>
        <w:t>v</w:t>
      </w:r>
      <w:r w:rsidR="00910DE5" w:rsidRPr="00A37F5E">
        <w:rPr>
          <w:rFonts w:ascii="Times New Roman" w:hAnsi="Times New Roman" w:cs="Times New Roman"/>
          <w:lang w:val="fr-BE"/>
        </w:rPr>
        <w:t>.</w:t>
      </w:r>
      <w:r w:rsidRPr="00A37F5E">
        <w:rPr>
          <w:rFonts w:ascii="Times New Roman" w:hAnsi="Times New Roman" w:cs="Times New Roman"/>
          <w:i/>
          <w:lang w:val="fr-BE"/>
        </w:rPr>
        <w:t xml:space="preserve"> Council</w:t>
      </w:r>
      <w:r w:rsidRPr="00A37F5E">
        <w:rPr>
          <w:rFonts w:ascii="Times New Roman" w:hAnsi="Times New Roman" w:cs="Times New Roman"/>
          <w:lang w:val="fr-BE"/>
        </w:rPr>
        <w:t>, EU:T:2018:22, para 66.</w:t>
      </w:r>
    </w:p>
  </w:footnote>
  <w:footnote w:id="13">
    <w:p w14:paraId="52B27575" w14:textId="4F11339A"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EF6020" w:rsidRPr="00A37F5E">
        <w:rPr>
          <w:rFonts w:ascii="Times New Roman" w:hAnsi="Times New Roman" w:cs="Times New Roman"/>
          <w:lang w:val="en-GB"/>
        </w:rPr>
        <w:t xml:space="preserve">Case C-542/18 RX, </w:t>
      </w:r>
      <w:r w:rsidR="00EF6020" w:rsidRPr="00A37F5E">
        <w:rPr>
          <w:rFonts w:ascii="Times New Roman" w:hAnsi="Times New Roman" w:cs="Times New Roman"/>
          <w:i/>
          <w:lang w:val="en-GB"/>
        </w:rPr>
        <w:t xml:space="preserve">Review Simpson </w:t>
      </w:r>
      <w:r w:rsidR="00EF6020" w:rsidRPr="00A37F5E">
        <w:rPr>
          <w:rFonts w:ascii="Times New Roman" w:hAnsi="Times New Roman" w:cs="Times New Roman"/>
          <w:lang w:val="en-GB"/>
        </w:rPr>
        <w:t xml:space="preserve">v. </w:t>
      </w:r>
      <w:r w:rsidR="00EF6020" w:rsidRPr="00A37F5E">
        <w:rPr>
          <w:rFonts w:ascii="Times New Roman" w:hAnsi="Times New Roman" w:cs="Times New Roman"/>
          <w:i/>
          <w:lang w:val="en-GB"/>
        </w:rPr>
        <w:t>Council</w:t>
      </w:r>
      <w:r w:rsidR="00EF6020" w:rsidRPr="00A37F5E">
        <w:rPr>
          <w:rFonts w:ascii="Times New Roman" w:hAnsi="Times New Roman" w:cs="Times New Roman"/>
          <w:lang w:val="en-GB"/>
        </w:rPr>
        <w:t xml:space="preserve">, EU:C:2018:763; Case C-543/18 RX, </w:t>
      </w:r>
      <w:r w:rsidR="00EF6020" w:rsidRPr="00A37F5E">
        <w:rPr>
          <w:rFonts w:ascii="Times New Roman" w:hAnsi="Times New Roman" w:cs="Times New Roman"/>
          <w:i/>
          <w:lang w:val="en-GB"/>
        </w:rPr>
        <w:t xml:space="preserve">Review HG </w:t>
      </w:r>
      <w:r w:rsidR="00EF6020" w:rsidRPr="00A37F5E">
        <w:rPr>
          <w:rFonts w:ascii="Times New Roman" w:hAnsi="Times New Roman" w:cs="Times New Roman"/>
          <w:lang w:val="en-GB"/>
        </w:rPr>
        <w:t xml:space="preserve">v. </w:t>
      </w:r>
      <w:r w:rsidR="00EF6020" w:rsidRPr="00A37F5E">
        <w:rPr>
          <w:rFonts w:ascii="Times New Roman" w:hAnsi="Times New Roman" w:cs="Times New Roman"/>
          <w:i/>
          <w:lang w:val="en-GB"/>
        </w:rPr>
        <w:t>Commission</w:t>
      </w:r>
      <w:r w:rsidR="00EF6020" w:rsidRPr="00A37F5E">
        <w:rPr>
          <w:rFonts w:ascii="Times New Roman" w:hAnsi="Times New Roman" w:cs="Times New Roman"/>
          <w:lang w:val="en-GB"/>
        </w:rPr>
        <w:t>, EU:C:2018:764.</w:t>
      </w:r>
      <w:r w:rsidR="007A72FB" w:rsidRPr="00A37F5E">
        <w:rPr>
          <w:rFonts w:ascii="Times New Roman" w:hAnsi="Times New Roman" w:cs="Times New Roman"/>
          <w:lang w:val="en-GB"/>
        </w:rPr>
        <w:t xml:space="preserve"> In accordance with Article 195(5) of the Rules of Procedure, it requested the Court to assign the cases under review to the Grand Chamber.</w:t>
      </w:r>
    </w:p>
  </w:footnote>
  <w:footnote w:id="14">
    <w:p w14:paraId="2350FCBF" w14:textId="737374EB" w:rsidR="00085855" w:rsidRPr="00A37F5E" w:rsidRDefault="00085855" w:rsidP="00A37F5E">
      <w:pPr>
        <w:pStyle w:val="Voetnoottekst"/>
        <w:jc w:val="both"/>
        <w:rPr>
          <w:rFonts w:ascii="Times New Roman" w:hAnsi="Times New Roman" w:cs="Times New Roman"/>
          <w:i/>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ECtHR, </w:t>
      </w:r>
      <w:proofErr w:type="spellStart"/>
      <w:r w:rsidRPr="00A37F5E">
        <w:rPr>
          <w:rFonts w:ascii="Times New Roman" w:hAnsi="Times New Roman" w:cs="Times New Roman"/>
          <w:i/>
          <w:lang w:val="en-GB"/>
        </w:rPr>
        <w:t>Guðmundur</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Andri</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Ástráðsson</w:t>
      </w:r>
      <w:proofErr w:type="spellEnd"/>
      <w:r w:rsidRPr="00A37F5E">
        <w:rPr>
          <w:rFonts w:ascii="Times New Roman" w:hAnsi="Times New Roman" w:cs="Times New Roman"/>
          <w:lang w:val="en-GB"/>
        </w:rPr>
        <w:t xml:space="preserve"> v. </w:t>
      </w:r>
      <w:r w:rsidRPr="00A37F5E">
        <w:rPr>
          <w:rFonts w:ascii="Times New Roman" w:hAnsi="Times New Roman" w:cs="Times New Roman"/>
          <w:i/>
          <w:lang w:val="en-GB"/>
        </w:rPr>
        <w:t>Iceland</w:t>
      </w:r>
      <w:r w:rsidRPr="00A37F5E">
        <w:rPr>
          <w:rFonts w:ascii="Times New Roman" w:hAnsi="Times New Roman" w:cs="Times New Roman"/>
          <w:lang w:val="en-GB"/>
        </w:rPr>
        <w:t>, Appl. No. 26374/18, judgment of 12 March 2019.</w:t>
      </w:r>
    </w:p>
  </w:footnote>
  <w:footnote w:id="15">
    <w:p w14:paraId="74FCECCC" w14:textId="463DA39D"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ECtHR</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i/>
          <w:lang w:val="fr-BE"/>
        </w:rPr>
        <w:t>Guðmundur</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Andri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Ástráðsson</w:t>
      </w:r>
      <w:proofErr w:type="spellEnd"/>
      <w:r w:rsidRPr="00A37F5E">
        <w:rPr>
          <w:rFonts w:ascii="Times New Roman" w:hAnsi="Times New Roman" w:cs="Times New Roman"/>
          <w:lang w:val="fr-BE"/>
        </w:rPr>
        <w:t>, para 98.</w:t>
      </w:r>
    </w:p>
  </w:footnote>
  <w:footnote w:id="16">
    <w:p w14:paraId="26153DE7" w14:textId="6D2FACE1"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5A3E5D" w:rsidRPr="00A37F5E">
        <w:rPr>
          <w:rFonts w:ascii="Times New Roman" w:hAnsi="Times New Roman" w:cs="Times New Roman"/>
          <w:lang w:val="en-GB"/>
        </w:rPr>
        <w:t xml:space="preserve">See: ECtHR, </w:t>
      </w:r>
      <w:proofErr w:type="spellStart"/>
      <w:r w:rsidR="005A3E5D" w:rsidRPr="00A37F5E">
        <w:rPr>
          <w:rFonts w:ascii="Times New Roman" w:hAnsi="Times New Roman" w:cs="Times New Roman"/>
          <w:i/>
          <w:lang w:val="en-GB"/>
        </w:rPr>
        <w:t>Guðmundur</w:t>
      </w:r>
      <w:proofErr w:type="spellEnd"/>
      <w:r w:rsidR="005A3E5D" w:rsidRPr="00A37F5E">
        <w:rPr>
          <w:rFonts w:ascii="Times New Roman" w:hAnsi="Times New Roman" w:cs="Times New Roman"/>
          <w:i/>
          <w:lang w:val="en-GB"/>
        </w:rPr>
        <w:t xml:space="preserve"> </w:t>
      </w:r>
      <w:proofErr w:type="spellStart"/>
      <w:r w:rsidR="005A3E5D" w:rsidRPr="00A37F5E">
        <w:rPr>
          <w:rFonts w:ascii="Times New Roman" w:hAnsi="Times New Roman" w:cs="Times New Roman"/>
          <w:i/>
          <w:lang w:val="en-GB"/>
        </w:rPr>
        <w:t>Andri</w:t>
      </w:r>
      <w:proofErr w:type="spellEnd"/>
      <w:r w:rsidR="005A3E5D" w:rsidRPr="00A37F5E">
        <w:rPr>
          <w:rFonts w:ascii="Times New Roman" w:hAnsi="Times New Roman" w:cs="Times New Roman"/>
          <w:i/>
          <w:lang w:val="en-GB"/>
        </w:rPr>
        <w:t xml:space="preserve"> </w:t>
      </w:r>
      <w:proofErr w:type="spellStart"/>
      <w:r w:rsidR="005A3E5D" w:rsidRPr="00A37F5E">
        <w:rPr>
          <w:rFonts w:ascii="Times New Roman" w:hAnsi="Times New Roman" w:cs="Times New Roman"/>
          <w:i/>
          <w:lang w:val="en-GB"/>
        </w:rPr>
        <w:t>Ástráðsson</w:t>
      </w:r>
      <w:proofErr w:type="spellEnd"/>
      <w:r w:rsidR="005A3E5D" w:rsidRPr="00A37F5E">
        <w:rPr>
          <w:rFonts w:ascii="Times New Roman" w:hAnsi="Times New Roman" w:cs="Times New Roman"/>
          <w:lang w:val="en-GB"/>
        </w:rPr>
        <w:t xml:space="preserve">, para 98. It only referenced the General Court’s judgment in </w:t>
      </w:r>
      <w:r w:rsidR="005A3E5D" w:rsidRPr="00A37F5E">
        <w:rPr>
          <w:rFonts w:ascii="Times New Roman" w:hAnsi="Times New Roman" w:cs="Times New Roman"/>
          <w:i/>
          <w:lang w:val="en-GB"/>
        </w:rPr>
        <w:t>FV</w:t>
      </w:r>
      <w:r w:rsidR="005A3E5D" w:rsidRPr="00A37F5E">
        <w:rPr>
          <w:rFonts w:ascii="Times New Roman" w:hAnsi="Times New Roman" w:cs="Times New Roman"/>
          <w:lang w:val="en-GB"/>
        </w:rPr>
        <w:t xml:space="preserve"> and a judgment by the EFTA Court: Case E-21/16, </w:t>
      </w:r>
      <w:r w:rsidR="005A3E5D" w:rsidRPr="00A37F5E">
        <w:rPr>
          <w:rFonts w:ascii="Times New Roman" w:hAnsi="Times New Roman" w:cs="Times New Roman"/>
          <w:i/>
          <w:lang w:val="en-GB"/>
        </w:rPr>
        <w:t xml:space="preserve">Pascal Nobile </w:t>
      </w:r>
      <w:r w:rsidR="005A3E5D" w:rsidRPr="00A37F5E">
        <w:rPr>
          <w:rFonts w:ascii="Times New Roman" w:hAnsi="Times New Roman" w:cs="Times New Roman"/>
          <w:lang w:val="en-GB"/>
        </w:rPr>
        <w:t xml:space="preserve">v. </w:t>
      </w:r>
      <w:r w:rsidR="005A3E5D" w:rsidRPr="00A37F5E">
        <w:rPr>
          <w:rFonts w:ascii="Times New Roman" w:hAnsi="Times New Roman" w:cs="Times New Roman"/>
          <w:i/>
          <w:lang w:val="en-GB"/>
        </w:rPr>
        <w:t xml:space="preserve">DAS </w:t>
      </w:r>
      <w:proofErr w:type="spellStart"/>
      <w:r w:rsidR="005A3E5D" w:rsidRPr="00A37F5E">
        <w:rPr>
          <w:rFonts w:ascii="Times New Roman" w:hAnsi="Times New Roman" w:cs="Times New Roman"/>
          <w:i/>
          <w:lang w:val="en-GB"/>
        </w:rPr>
        <w:t>Rechtsschutz-Versicherungs</w:t>
      </w:r>
      <w:proofErr w:type="spellEnd"/>
      <w:r w:rsidR="00E324B4" w:rsidRPr="00A37F5E">
        <w:rPr>
          <w:rFonts w:ascii="Times New Roman" w:hAnsi="Times New Roman" w:cs="Times New Roman"/>
          <w:lang w:val="en-GB"/>
        </w:rPr>
        <w:t>, Decision of the Court of 14 February 2017, para 16.</w:t>
      </w:r>
    </w:p>
  </w:footnote>
  <w:footnote w:id="17">
    <w:p w14:paraId="17F4A10F" w14:textId="59081CF0"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ECtHR</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i/>
          <w:lang w:val="fr-BE"/>
        </w:rPr>
        <w:t>Guðmundur</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Andri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Ástráðsson</w:t>
      </w:r>
      <w:proofErr w:type="spellEnd"/>
      <w:r w:rsidRPr="00A37F5E">
        <w:rPr>
          <w:rFonts w:ascii="Times New Roman" w:hAnsi="Times New Roman" w:cs="Times New Roman"/>
          <w:lang w:val="fr-BE"/>
        </w:rPr>
        <w:t>, paras 100-101.</w:t>
      </w:r>
    </w:p>
  </w:footnote>
  <w:footnote w:id="18">
    <w:p w14:paraId="1ED383A2" w14:textId="38AA672C"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ECtHR</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i/>
          <w:lang w:val="fr-BE"/>
        </w:rPr>
        <w:t>Guðmundur</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Andri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Ástráðsson</w:t>
      </w:r>
      <w:proofErr w:type="spellEnd"/>
      <w:r w:rsidRPr="00A37F5E">
        <w:rPr>
          <w:rFonts w:ascii="Times New Roman" w:hAnsi="Times New Roman" w:cs="Times New Roman"/>
          <w:lang w:val="fr-BE"/>
        </w:rPr>
        <w:t>, paras 104-123.</w:t>
      </w:r>
    </w:p>
  </w:footnote>
  <w:footnote w:id="19">
    <w:p w14:paraId="336DA6C2" w14:textId="7C44E1D7"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005A3E5D" w:rsidRPr="00A37F5E">
        <w:rPr>
          <w:rFonts w:ascii="Times New Roman" w:hAnsi="Times New Roman" w:cs="Times New Roman"/>
          <w:lang w:val="en-GB"/>
        </w:rPr>
        <w:t xml:space="preserve"> Dissenting opinion by judges Lemmens and </w:t>
      </w:r>
      <w:proofErr w:type="spellStart"/>
      <w:r w:rsidR="005A3E5D" w:rsidRPr="00A37F5E">
        <w:rPr>
          <w:rFonts w:ascii="Times New Roman" w:hAnsi="Times New Roman" w:cs="Times New Roman"/>
          <w:lang w:val="en-GB"/>
        </w:rPr>
        <w:t>Griţco</w:t>
      </w:r>
      <w:proofErr w:type="spellEnd"/>
      <w:r w:rsidR="005A3E5D" w:rsidRPr="00A37F5E">
        <w:rPr>
          <w:rFonts w:ascii="Times New Roman" w:hAnsi="Times New Roman" w:cs="Times New Roman"/>
          <w:lang w:val="en-GB"/>
        </w:rPr>
        <w:t xml:space="preserve"> in ECtHR, </w:t>
      </w:r>
      <w:proofErr w:type="spellStart"/>
      <w:r w:rsidR="005A3E5D" w:rsidRPr="00A37F5E">
        <w:rPr>
          <w:rFonts w:ascii="Times New Roman" w:hAnsi="Times New Roman" w:cs="Times New Roman"/>
          <w:i/>
          <w:lang w:val="en-GB"/>
        </w:rPr>
        <w:t>Guðmundur</w:t>
      </w:r>
      <w:proofErr w:type="spellEnd"/>
      <w:r w:rsidR="005A3E5D" w:rsidRPr="00A37F5E">
        <w:rPr>
          <w:rFonts w:ascii="Times New Roman" w:hAnsi="Times New Roman" w:cs="Times New Roman"/>
          <w:i/>
          <w:lang w:val="en-GB"/>
        </w:rPr>
        <w:t xml:space="preserve"> </w:t>
      </w:r>
      <w:proofErr w:type="spellStart"/>
      <w:r w:rsidR="005A3E5D" w:rsidRPr="00A37F5E">
        <w:rPr>
          <w:rFonts w:ascii="Times New Roman" w:hAnsi="Times New Roman" w:cs="Times New Roman"/>
          <w:i/>
          <w:lang w:val="en-GB"/>
        </w:rPr>
        <w:t>Andri</w:t>
      </w:r>
      <w:proofErr w:type="spellEnd"/>
      <w:r w:rsidR="005A3E5D" w:rsidRPr="00A37F5E">
        <w:rPr>
          <w:rFonts w:ascii="Times New Roman" w:hAnsi="Times New Roman" w:cs="Times New Roman"/>
          <w:i/>
          <w:lang w:val="en-GB"/>
        </w:rPr>
        <w:t xml:space="preserve"> </w:t>
      </w:r>
      <w:proofErr w:type="spellStart"/>
      <w:r w:rsidR="005A3E5D" w:rsidRPr="00A37F5E">
        <w:rPr>
          <w:rFonts w:ascii="Times New Roman" w:hAnsi="Times New Roman" w:cs="Times New Roman"/>
          <w:i/>
          <w:lang w:val="en-GB"/>
        </w:rPr>
        <w:t>Ástráðsson</w:t>
      </w:r>
      <w:proofErr w:type="spellEnd"/>
      <w:r w:rsidR="005A3E5D" w:rsidRPr="00A37F5E">
        <w:rPr>
          <w:rFonts w:ascii="Times New Roman" w:hAnsi="Times New Roman" w:cs="Times New Roman"/>
          <w:lang w:val="en-GB"/>
        </w:rPr>
        <w:t>, para 1.</w:t>
      </w:r>
    </w:p>
  </w:footnote>
  <w:footnote w:id="20">
    <w:p w14:paraId="10A33034" w14:textId="4AF88FF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press release of 10 September 2019, ECHR 308 (2019). The proceedings for referral to the Grand Chamber are a little more opaque than those for a review in the ECJ. It is in principle unknown on what grounds cases are either accepted or declined by the Grand Chamber Panel. However, the Court has published a note in which it sets forth the general practice of the Panel. See: https://www.echr.coe.int/Documents/Note_GC_ENG.pdf (last accessed: 27 March 2020). See further: </w:t>
      </w:r>
      <w:proofErr w:type="spellStart"/>
      <w:r w:rsidRPr="00A37F5E">
        <w:rPr>
          <w:rFonts w:ascii="Times New Roman" w:hAnsi="Times New Roman" w:cs="Times New Roman"/>
          <w:lang w:val="en-GB"/>
        </w:rPr>
        <w:t>Baglayan</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Fahner</w:t>
      </w:r>
      <w:proofErr w:type="spellEnd"/>
      <w:r w:rsidRPr="00A37F5E">
        <w:rPr>
          <w:rFonts w:ascii="Times New Roman" w:hAnsi="Times New Roman" w:cs="Times New Roman"/>
          <w:lang w:val="en-GB"/>
        </w:rPr>
        <w:t>, “‘One Can Always Do Better’ The Referral Procedure before the Grand Chamber of the European Court of Human Rights”, 17</w:t>
      </w:r>
      <w:r w:rsidR="0093712C" w:rsidRPr="00A37F5E">
        <w:rPr>
          <w:rFonts w:ascii="Times New Roman" w:hAnsi="Times New Roman" w:cs="Times New Roman"/>
          <w:lang w:val="en-GB"/>
        </w:rPr>
        <w:t xml:space="preserve"> H.R.L. Rev.</w:t>
      </w:r>
      <w:r w:rsidRPr="00A37F5E">
        <w:rPr>
          <w:rFonts w:ascii="Times New Roman" w:hAnsi="Times New Roman" w:cs="Times New Roman"/>
          <w:lang w:val="en-GB"/>
        </w:rPr>
        <w:t xml:space="preserve"> (2017), </w:t>
      </w:r>
      <w:r w:rsidR="00D83231" w:rsidRPr="00A37F5E">
        <w:rPr>
          <w:rFonts w:ascii="Times New Roman" w:hAnsi="Times New Roman" w:cs="Times New Roman"/>
          <w:lang w:val="en-GB"/>
        </w:rPr>
        <w:t xml:space="preserve">pp. </w:t>
      </w:r>
      <w:r w:rsidRPr="00A37F5E">
        <w:rPr>
          <w:rFonts w:ascii="Times New Roman" w:hAnsi="Times New Roman" w:cs="Times New Roman"/>
          <w:lang w:val="en-GB"/>
        </w:rPr>
        <w:t xml:space="preserve">339-363, at </w:t>
      </w:r>
      <w:r w:rsidR="00D83231" w:rsidRPr="00A37F5E">
        <w:rPr>
          <w:rFonts w:ascii="Times New Roman" w:hAnsi="Times New Roman" w:cs="Times New Roman"/>
          <w:lang w:val="en-GB"/>
        </w:rPr>
        <w:t xml:space="preserve">p. </w:t>
      </w:r>
      <w:r w:rsidRPr="00A37F5E">
        <w:rPr>
          <w:rFonts w:ascii="Times New Roman" w:hAnsi="Times New Roman" w:cs="Times New Roman"/>
          <w:lang w:val="en-GB"/>
        </w:rPr>
        <w:t>347.</w:t>
      </w:r>
    </w:p>
  </w:footnote>
  <w:footnote w:id="21">
    <w:p w14:paraId="58584C3B" w14:textId="055BEB23"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5A3E5D" w:rsidRPr="00A37F5E">
        <w:rPr>
          <w:rFonts w:ascii="Times New Roman" w:hAnsi="Times New Roman" w:cs="Times New Roman"/>
          <w:lang w:val="en-GB"/>
        </w:rPr>
        <w:t xml:space="preserve">Opinion by AG Sharpston in joined Cases C-542/18 RX-II and C-543/18 RX-II, </w:t>
      </w:r>
      <w:r w:rsidR="005A3E5D" w:rsidRPr="00A37F5E">
        <w:rPr>
          <w:rFonts w:ascii="Times New Roman" w:hAnsi="Times New Roman" w:cs="Times New Roman"/>
          <w:i/>
          <w:lang w:val="en-GB"/>
        </w:rPr>
        <w:t xml:space="preserve">Review Simpson </w:t>
      </w:r>
      <w:r w:rsidR="005A3E5D" w:rsidRPr="00A37F5E">
        <w:rPr>
          <w:rFonts w:ascii="Times New Roman" w:hAnsi="Times New Roman" w:cs="Times New Roman"/>
          <w:lang w:val="en-GB"/>
        </w:rPr>
        <w:t xml:space="preserve">v. </w:t>
      </w:r>
      <w:r w:rsidR="005A3E5D" w:rsidRPr="00A37F5E">
        <w:rPr>
          <w:rFonts w:ascii="Times New Roman" w:hAnsi="Times New Roman" w:cs="Times New Roman"/>
          <w:i/>
          <w:lang w:val="en-GB"/>
        </w:rPr>
        <w:t xml:space="preserve">Council and Review HG </w:t>
      </w:r>
      <w:r w:rsidR="005A3E5D" w:rsidRPr="00A37F5E">
        <w:rPr>
          <w:rFonts w:ascii="Times New Roman" w:hAnsi="Times New Roman" w:cs="Times New Roman"/>
          <w:lang w:val="en-GB"/>
        </w:rPr>
        <w:t xml:space="preserve">v. </w:t>
      </w:r>
      <w:r w:rsidR="005A3E5D" w:rsidRPr="00A37F5E">
        <w:rPr>
          <w:rFonts w:ascii="Times New Roman" w:hAnsi="Times New Roman" w:cs="Times New Roman"/>
          <w:i/>
          <w:lang w:val="en-GB"/>
        </w:rPr>
        <w:t>Commission</w:t>
      </w:r>
      <w:r w:rsidR="005A3E5D" w:rsidRPr="00A37F5E">
        <w:rPr>
          <w:rFonts w:ascii="Times New Roman" w:hAnsi="Times New Roman" w:cs="Times New Roman"/>
          <w:lang w:val="en-GB"/>
        </w:rPr>
        <w:t>, EU:C:2019:977</w:t>
      </w:r>
      <w:r w:rsidRPr="00A37F5E">
        <w:rPr>
          <w:rFonts w:ascii="Times New Roman" w:hAnsi="Times New Roman" w:cs="Times New Roman"/>
          <w:lang w:val="en-GB"/>
        </w:rPr>
        <w:t>.</w:t>
      </w:r>
    </w:p>
  </w:footnote>
  <w:footnote w:id="22">
    <w:p w14:paraId="5024475C" w14:textId="547A253E" w:rsidR="00F2528F" w:rsidRPr="00A37F5E" w:rsidRDefault="00F2528F"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Opinion by AG Sharpston in joined Cases C-542/18 RX-II and C-543/18 RX-II, </w:t>
      </w:r>
      <w:r w:rsidRPr="00A37F5E">
        <w:rPr>
          <w:rFonts w:ascii="Times New Roman" w:hAnsi="Times New Roman" w:cs="Times New Roman"/>
          <w:i/>
          <w:lang w:val="en-GB"/>
        </w:rPr>
        <w:t xml:space="preserve">Review Simpson </w:t>
      </w:r>
      <w:r w:rsidRPr="00A37F5E">
        <w:rPr>
          <w:rFonts w:ascii="Times New Roman" w:hAnsi="Times New Roman" w:cs="Times New Roman"/>
          <w:lang w:val="en-GB"/>
        </w:rPr>
        <w:t xml:space="preserve">v. </w:t>
      </w:r>
      <w:r w:rsidRPr="00A37F5E">
        <w:rPr>
          <w:rFonts w:ascii="Times New Roman" w:hAnsi="Times New Roman" w:cs="Times New Roman"/>
          <w:i/>
          <w:lang w:val="en-GB"/>
        </w:rPr>
        <w:t xml:space="preserve">Council and Review HG </w:t>
      </w:r>
      <w:r w:rsidRPr="00A37F5E">
        <w:rPr>
          <w:rFonts w:ascii="Times New Roman" w:hAnsi="Times New Roman" w:cs="Times New Roman"/>
          <w:lang w:val="en-GB"/>
        </w:rPr>
        <w:t xml:space="preserve">v. </w:t>
      </w:r>
      <w:r w:rsidRPr="00A37F5E">
        <w:rPr>
          <w:rFonts w:ascii="Times New Roman" w:hAnsi="Times New Roman" w:cs="Times New Roman"/>
          <w:i/>
          <w:lang w:val="en-GB"/>
        </w:rPr>
        <w:t>Commission</w:t>
      </w:r>
      <w:r w:rsidRPr="00A37F5E">
        <w:rPr>
          <w:rFonts w:ascii="Times New Roman" w:hAnsi="Times New Roman" w:cs="Times New Roman"/>
          <w:lang w:val="en-GB"/>
        </w:rPr>
        <w:t>, paras 41-58.</w:t>
      </w:r>
    </w:p>
  </w:footnote>
  <w:footnote w:id="23">
    <w:p w14:paraId="0C63E297" w14:textId="48DBCF1E"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E324B4" w:rsidRPr="00A37F5E">
        <w:rPr>
          <w:rFonts w:ascii="Times New Roman" w:hAnsi="Times New Roman" w:cs="Times New Roman"/>
          <w:lang w:val="en-GB"/>
        </w:rPr>
        <w:t xml:space="preserve">Opinion by AG Sharpston in </w:t>
      </w:r>
      <w:r w:rsidR="008F5B10" w:rsidRPr="00A37F5E">
        <w:rPr>
          <w:rFonts w:ascii="Times New Roman" w:hAnsi="Times New Roman" w:cs="Times New Roman"/>
          <w:lang w:val="en-GB"/>
        </w:rPr>
        <w:t>J</w:t>
      </w:r>
      <w:r w:rsidR="00E324B4" w:rsidRPr="00A37F5E">
        <w:rPr>
          <w:rFonts w:ascii="Times New Roman" w:hAnsi="Times New Roman" w:cs="Times New Roman"/>
          <w:lang w:val="en-GB"/>
        </w:rPr>
        <w:t xml:space="preserve">oined Cases C-542/18 RX-II and C-543/18 RX-II, </w:t>
      </w:r>
      <w:r w:rsidR="00E324B4" w:rsidRPr="00A37F5E">
        <w:rPr>
          <w:rFonts w:ascii="Times New Roman" w:hAnsi="Times New Roman" w:cs="Times New Roman"/>
          <w:i/>
          <w:lang w:val="en-GB"/>
        </w:rPr>
        <w:t xml:space="preserve">Review Simpson </w:t>
      </w:r>
      <w:r w:rsidR="00E324B4" w:rsidRPr="00A37F5E">
        <w:rPr>
          <w:rFonts w:ascii="Times New Roman" w:hAnsi="Times New Roman" w:cs="Times New Roman"/>
          <w:lang w:val="en-GB"/>
        </w:rPr>
        <w:t xml:space="preserve">v. </w:t>
      </w:r>
      <w:r w:rsidR="00AB06BF" w:rsidRPr="00A37F5E">
        <w:rPr>
          <w:rFonts w:ascii="Times New Roman" w:hAnsi="Times New Roman" w:cs="Times New Roman"/>
          <w:i/>
          <w:lang w:val="en-GB"/>
        </w:rPr>
        <w:t>Council a</w:t>
      </w:r>
      <w:r w:rsidR="00E324B4" w:rsidRPr="00A37F5E">
        <w:rPr>
          <w:rFonts w:ascii="Times New Roman" w:hAnsi="Times New Roman" w:cs="Times New Roman"/>
          <w:i/>
          <w:lang w:val="en-GB"/>
        </w:rPr>
        <w:t xml:space="preserve">nd Review HG </w:t>
      </w:r>
      <w:r w:rsidR="00E324B4" w:rsidRPr="00A37F5E">
        <w:rPr>
          <w:rFonts w:ascii="Times New Roman" w:hAnsi="Times New Roman" w:cs="Times New Roman"/>
          <w:lang w:val="en-GB"/>
        </w:rPr>
        <w:t xml:space="preserve">v. </w:t>
      </w:r>
      <w:r w:rsidR="00E324B4" w:rsidRPr="00A37F5E">
        <w:rPr>
          <w:rFonts w:ascii="Times New Roman" w:hAnsi="Times New Roman" w:cs="Times New Roman"/>
          <w:i/>
          <w:lang w:val="en-GB"/>
        </w:rPr>
        <w:t>Commission</w:t>
      </w:r>
      <w:r w:rsidR="00E324B4" w:rsidRPr="00A37F5E">
        <w:rPr>
          <w:rFonts w:ascii="Times New Roman" w:hAnsi="Times New Roman" w:cs="Times New Roman"/>
          <w:lang w:val="en-GB"/>
        </w:rPr>
        <w:t>, para</w:t>
      </w:r>
      <w:r w:rsidR="00F2528F" w:rsidRPr="00A37F5E">
        <w:rPr>
          <w:rFonts w:ascii="Times New Roman" w:hAnsi="Times New Roman" w:cs="Times New Roman"/>
          <w:lang w:val="en-GB"/>
        </w:rPr>
        <w:t>s 59-</w:t>
      </w:r>
      <w:r w:rsidRPr="00A37F5E">
        <w:rPr>
          <w:rFonts w:ascii="Times New Roman" w:hAnsi="Times New Roman" w:cs="Times New Roman"/>
          <w:lang w:val="en-GB"/>
        </w:rPr>
        <w:t>111.</w:t>
      </w:r>
    </w:p>
  </w:footnote>
  <w:footnote w:id="24">
    <w:p w14:paraId="614CCFCE" w14:textId="33A59841" w:rsidR="000F7557" w:rsidRPr="00A37F5E" w:rsidRDefault="000F7557"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Opinion by AG Sharpston in joined Cases C-542/18 RX-II and C-543/18 RX-II, </w:t>
      </w:r>
      <w:r w:rsidRPr="00A37F5E">
        <w:rPr>
          <w:rFonts w:ascii="Times New Roman" w:hAnsi="Times New Roman" w:cs="Times New Roman"/>
          <w:i/>
          <w:lang w:val="en-GB"/>
        </w:rPr>
        <w:t xml:space="preserve">Review Simpson </w:t>
      </w:r>
      <w:r w:rsidRPr="00A37F5E">
        <w:rPr>
          <w:rFonts w:ascii="Times New Roman" w:hAnsi="Times New Roman" w:cs="Times New Roman"/>
          <w:lang w:val="en-GB"/>
        </w:rPr>
        <w:t xml:space="preserve">v. </w:t>
      </w:r>
      <w:r w:rsidRPr="00A37F5E">
        <w:rPr>
          <w:rFonts w:ascii="Times New Roman" w:hAnsi="Times New Roman" w:cs="Times New Roman"/>
          <w:i/>
          <w:lang w:val="en-GB"/>
        </w:rPr>
        <w:t xml:space="preserve">Council and Review HG </w:t>
      </w:r>
      <w:r w:rsidRPr="00A37F5E">
        <w:rPr>
          <w:rFonts w:ascii="Times New Roman" w:hAnsi="Times New Roman" w:cs="Times New Roman"/>
          <w:lang w:val="en-GB"/>
        </w:rPr>
        <w:t xml:space="preserve">v. </w:t>
      </w:r>
      <w:r w:rsidRPr="00A37F5E">
        <w:rPr>
          <w:rFonts w:ascii="Times New Roman" w:hAnsi="Times New Roman" w:cs="Times New Roman"/>
          <w:i/>
          <w:lang w:val="en-GB"/>
        </w:rPr>
        <w:t>Commission</w:t>
      </w:r>
      <w:r w:rsidRPr="00A37F5E">
        <w:rPr>
          <w:rFonts w:ascii="Times New Roman" w:hAnsi="Times New Roman" w:cs="Times New Roman"/>
          <w:lang w:val="en-GB"/>
        </w:rPr>
        <w:t>, paras 112-142.</w:t>
      </w:r>
    </w:p>
  </w:footnote>
  <w:footnote w:id="25">
    <w:p w14:paraId="367158C9" w14:textId="58FF454A"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Pr="00A37F5E">
        <w:rPr>
          <w:rFonts w:ascii="Times New Roman" w:hAnsi="Times New Roman" w:cs="Times New Roman"/>
          <w:lang w:val="en-GB"/>
        </w:rPr>
        <w:t>,</w:t>
      </w:r>
      <w:r w:rsidR="001E42F6" w:rsidRPr="00A37F5E">
        <w:rPr>
          <w:rFonts w:ascii="Times New Roman" w:hAnsi="Times New Roman" w:cs="Times New Roman"/>
          <w:lang w:val="en-GB"/>
        </w:rPr>
        <w:t xml:space="preserve"> EU:C:2020:232,</w:t>
      </w:r>
      <w:r w:rsidRPr="00A37F5E">
        <w:rPr>
          <w:rFonts w:ascii="Times New Roman" w:hAnsi="Times New Roman" w:cs="Times New Roman"/>
          <w:lang w:val="en-GB"/>
        </w:rPr>
        <w:t xml:space="preserve"> para 51. </w:t>
      </w:r>
    </w:p>
  </w:footnote>
  <w:footnote w:id="26">
    <w:p w14:paraId="46533006" w14:textId="45DF0AD9"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 xml:space="preserve">Joined </w:t>
      </w:r>
      <w:r w:rsidRPr="00A37F5E">
        <w:rPr>
          <w:rFonts w:ascii="Times New Roman" w:hAnsi="Times New Roman" w:cs="Times New Roman"/>
          <w:lang w:val="en-GB"/>
        </w:rPr>
        <w:t>Cases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00AB06BF"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paras 53-58.</w:t>
      </w:r>
    </w:p>
  </w:footnote>
  <w:footnote w:id="27">
    <w:p w14:paraId="1229B6E8" w14:textId="42D0734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008F5B10" w:rsidRPr="00A37F5E">
        <w:rPr>
          <w:rFonts w:ascii="Times New Roman" w:hAnsi="Times New Roman" w:cs="Times New Roman"/>
          <w:lang w:val="en-GB"/>
        </w:rPr>
        <w:t xml:space="preserve"> Joined</w:t>
      </w:r>
      <w:r w:rsidRPr="00A37F5E">
        <w:rPr>
          <w:rFonts w:ascii="Times New Roman" w:hAnsi="Times New Roman" w:cs="Times New Roman"/>
          <w:lang w:val="en-GB"/>
        </w:rPr>
        <w:t xml:space="preserve"> Cases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Pr="00A37F5E">
        <w:rPr>
          <w:rFonts w:ascii="Times New Roman" w:hAnsi="Times New Roman" w:cs="Times New Roman"/>
          <w:lang w:val="en-GB"/>
        </w:rPr>
        <w:t>, paras 59-68.</w:t>
      </w:r>
    </w:p>
  </w:footnote>
  <w:footnote w:id="28">
    <w:p w14:paraId="48EC3A94" w14:textId="780F497A"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008F5B10" w:rsidRPr="00A37F5E">
        <w:rPr>
          <w:rFonts w:ascii="Times New Roman" w:hAnsi="Times New Roman" w:cs="Times New Roman"/>
          <w:lang w:val="en-GB"/>
        </w:rPr>
        <w:t xml:space="preserve"> Joined Cases C-542/18 RX-II and C-543/18 RX-II,</w:t>
      </w:r>
      <w:r w:rsidR="008F5B10" w:rsidRPr="00A37F5E">
        <w:rPr>
          <w:rFonts w:ascii="Times New Roman" w:hAnsi="Times New Roman" w:cs="Times New Roman"/>
          <w:i/>
          <w:lang w:val="en-GB"/>
        </w:rPr>
        <w:t xml:space="preserve"> Review Simpson </w:t>
      </w:r>
      <w:r w:rsidR="008F5B10" w:rsidRPr="00A37F5E">
        <w:rPr>
          <w:rFonts w:ascii="Times New Roman" w:hAnsi="Times New Roman" w:cs="Times New Roman"/>
          <w:lang w:val="en-GB"/>
        </w:rPr>
        <w:t>v.</w:t>
      </w:r>
      <w:r w:rsidR="008F5B10" w:rsidRPr="00A37F5E">
        <w:rPr>
          <w:rFonts w:ascii="Times New Roman" w:hAnsi="Times New Roman" w:cs="Times New Roman"/>
          <w:i/>
          <w:lang w:val="en-GB"/>
        </w:rPr>
        <w:t xml:space="preserve"> Council and Review HG </w:t>
      </w:r>
      <w:r w:rsidR="008F5B10" w:rsidRPr="00A37F5E">
        <w:rPr>
          <w:rFonts w:ascii="Times New Roman" w:hAnsi="Times New Roman" w:cs="Times New Roman"/>
          <w:lang w:val="en-GB"/>
        </w:rPr>
        <w:t>v.</w:t>
      </w:r>
      <w:r w:rsidR="008F5B10" w:rsidRPr="00A37F5E">
        <w:rPr>
          <w:rFonts w:ascii="Times New Roman" w:hAnsi="Times New Roman" w:cs="Times New Roman"/>
          <w:i/>
          <w:lang w:val="en-GB"/>
        </w:rPr>
        <w:t xml:space="preserve"> Commission</w:t>
      </w:r>
      <w:r w:rsidR="00A60B35">
        <w:rPr>
          <w:rFonts w:ascii="Times New Roman" w:hAnsi="Times New Roman" w:cs="Times New Roman"/>
          <w:lang w:val="en-GB"/>
        </w:rPr>
        <w:t>, para</w:t>
      </w:r>
      <w:r w:rsidR="008F5B10" w:rsidRPr="00A37F5E">
        <w:rPr>
          <w:rFonts w:ascii="Times New Roman" w:hAnsi="Times New Roman" w:cs="Times New Roman"/>
          <w:lang w:val="en-GB"/>
        </w:rPr>
        <w:t xml:space="preserve"> 71. W</w:t>
      </w:r>
      <w:r w:rsidRPr="00A37F5E">
        <w:rPr>
          <w:rFonts w:ascii="Times New Roman" w:hAnsi="Times New Roman" w:cs="Times New Roman"/>
          <w:lang w:val="en-GB"/>
        </w:rPr>
        <w:t xml:space="preserve">ith reference to </w:t>
      </w:r>
      <w:r w:rsidR="008F5B10" w:rsidRPr="00A37F5E">
        <w:rPr>
          <w:rFonts w:ascii="Times New Roman" w:hAnsi="Times New Roman" w:cs="Times New Roman"/>
          <w:lang w:val="en-GB"/>
        </w:rPr>
        <w:t xml:space="preserve">Joined Cases C-585/18, C-524/18 and C-525/18, </w:t>
      </w:r>
      <w:r w:rsidR="008F5B10" w:rsidRPr="00A37F5E">
        <w:rPr>
          <w:rFonts w:ascii="Times New Roman" w:hAnsi="Times New Roman" w:cs="Times New Roman"/>
          <w:i/>
          <w:lang w:val="en-GB"/>
        </w:rPr>
        <w:t>A. K., CP and DO</w:t>
      </w:r>
      <w:r w:rsidR="008F5B10" w:rsidRPr="00A37F5E">
        <w:rPr>
          <w:rFonts w:ascii="Times New Roman" w:hAnsi="Times New Roman" w:cs="Times New Roman"/>
          <w:lang w:val="en-GB"/>
        </w:rPr>
        <w:t>, EU:C:2019:982, para 153.</w:t>
      </w:r>
    </w:p>
  </w:footnote>
  <w:footnote w:id="29">
    <w:p w14:paraId="6705A9BA" w14:textId="37D16411" w:rsidR="00DE60D1" w:rsidRPr="00A37F5E" w:rsidRDefault="00DE60D1"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Joined Cases C-542/18 RX-II and C-543/18 RX-II,</w:t>
      </w:r>
      <w:r w:rsidRPr="00A37F5E">
        <w:rPr>
          <w:rFonts w:ascii="Times New Roman" w:hAnsi="Times New Roman" w:cs="Times New Roman"/>
          <w:i/>
          <w:lang w:val="en-GB"/>
        </w:rPr>
        <w:t xml:space="preserve"> Review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Review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paras 73-83.</w:t>
      </w:r>
    </w:p>
  </w:footnote>
  <w:footnote w:id="30">
    <w:p w14:paraId="0BFC2AB4" w14:textId="65D4EB38" w:rsidR="00D15647" w:rsidRPr="00A37F5E" w:rsidRDefault="00D15647"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Joined Cases C-542/18 RX-II and C-543/18 RX-II,</w:t>
      </w:r>
      <w:r w:rsidRPr="00A37F5E">
        <w:rPr>
          <w:rFonts w:ascii="Times New Roman" w:hAnsi="Times New Roman" w:cs="Times New Roman"/>
          <w:i/>
          <w:lang w:val="en-GB"/>
        </w:rPr>
        <w:t xml:space="preserve"> Review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Review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paras 84-87.</w:t>
      </w:r>
    </w:p>
  </w:footnote>
  <w:footnote w:id="31">
    <w:p w14:paraId="2FA8C1E5" w14:textId="79C1FCF2"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para 75.</w:t>
      </w:r>
    </w:p>
  </w:footnote>
  <w:footnote w:id="32">
    <w:p w14:paraId="2CBB7824" w14:textId="08DC25AA"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These criteria are whether the body is established by law, whether it is permanent, whether its jurisdiction is compulsory, whether its procedure is </w:t>
      </w:r>
      <w:r w:rsidRPr="00A37F5E">
        <w:rPr>
          <w:rFonts w:ascii="Times New Roman" w:hAnsi="Times New Roman" w:cs="Times New Roman"/>
          <w:i/>
          <w:lang w:val="en-GB"/>
        </w:rPr>
        <w:t xml:space="preserve">inter </w:t>
      </w:r>
      <w:proofErr w:type="spellStart"/>
      <w:r w:rsidRPr="00A37F5E">
        <w:rPr>
          <w:rFonts w:ascii="Times New Roman" w:hAnsi="Times New Roman" w:cs="Times New Roman"/>
          <w:i/>
          <w:lang w:val="en-GB"/>
        </w:rPr>
        <w:t>partes</w:t>
      </w:r>
      <w:proofErr w:type="spellEnd"/>
      <w:r w:rsidRPr="00A37F5E">
        <w:rPr>
          <w:rFonts w:ascii="Times New Roman" w:hAnsi="Times New Roman" w:cs="Times New Roman"/>
          <w:lang w:val="en-GB"/>
        </w:rPr>
        <w:t xml:space="preserve">, whether it applies rules of law and whether it is independent. See among many others: Case C-503/15, </w:t>
      </w:r>
      <w:proofErr w:type="spellStart"/>
      <w:r w:rsidRPr="00A37F5E">
        <w:rPr>
          <w:rFonts w:ascii="Times New Roman" w:hAnsi="Times New Roman" w:cs="Times New Roman"/>
          <w:i/>
          <w:lang w:val="en-GB"/>
        </w:rPr>
        <w:t>Margarit</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Panicello</w:t>
      </w:r>
      <w:proofErr w:type="spellEnd"/>
      <w:r w:rsidRPr="00A37F5E">
        <w:rPr>
          <w:rFonts w:ascii="Times New Roman" w:hAnsi="Times New Roman" w:cs="Times New Roman"/>
          <w:lang w:val="en-GB"/>
        </w:rPr>
        <w:t xml:space="preserve">, EU:C:2017:126, para 27; Case C-53/03, </w:t>
      </w:r>
      <w:proofErr w:type="spellStart"/>
      <w:r w:rsidRPr="00A37F5E">
        <w:rPr>
          <w:rFonts w:ascii="Times New Roman" w:hAnsi="Times New Roman" w:cs="Times New Roman"/>
          <w:i/>
          <w:lang w:val="en-GB"/>
        </w:rPr>
        <w:t>Syfait</w:t>
      </w:r>
      <w:proofErr w:type="spellEnd"/>
      <w:r w:rsidRPr="00A37F5E">
        <w:rPr>
          <w:rFonts w:ascii="Times New Roman" w:hAnsi="Times New Roman" w:cs="Times New Roman"/>
          <w:lang w:val="en-GB"/>
        </w:rPr>
        <w:t xml:space="preserve">, EU:C:2005:333, para 29; Case C-54/96, </w:t>
      </w:r>
      <w:proofErr w:type="spellStart"/>
      <w:r w:rsidRPr="00A37F5E">
        <w:rPr>
          <w:rFonts w:ascii="Times New Roman" w:hAnsi="Times New Roman" w:cs="Times New Roman"/>
          <w:i/>
          <w:lang w:val="en-GB"/>
        </w:rPr>
        <w:t>Dorsch</w:t>
      </w:r>
      <w:proofErr w:type="spellEnd"/>
      <w:r w:rsidRPr="00A37F5E">
        <w:rPr>
          <w:rFonts w:ascii="Times New Roman" w:hAnsi="Times New Roman" w:cs="Times New Roman"/>
          <w:i/>
          <w:lang w:val="en-GB"/>
        </w:rPr>
        <w:t xml:space="preserve"> Consult</w:t>
      </w:r>
      <w:r w:rsidRPr="00A37F5E">
        <w:rPr>
          <w:rFonts w:ascii="Times New Roman" w:hAnsi="Times New Roman" w:cs="Times New Roman"/>
          <w:lang w:val="en-GB"/>
        </w:rPr>
        <w:t xml:space="preserve">, EU:C:1997:413, para 23; Case 61/65, </w:t>
      </w:r>
      <w:proofErr w:type="spellStart"/>
      <w:r w:rsidRPr="00A37F5E">
        <w:rPr>
          <w:rFonts w:ascii="Times New Roman" w:hAnsi="Times New Roman" w:cs="Times New Roman"/>
          <w:i/>
          <w:lang w:val="en-GB"/>
        </w:rPr>
        <w:t>Vaassen-Göbbels</w:t>
      </w:r>
      <w:proofErr w:type="spellEnd"/>
      <w:r w:rsidRPr="00A37F5E">
        <w:rPr>
          <w:rFonts w:ascii="Times New Roman" w:hAnsi="Times New Roman" w:cs="Times New Roman"/>
          <w:lang w:val="en-GB"/>
        </w:rPr>
        <w:t>, EU:C:196</w:t>
      </w:r>
      <w:r w:rsidR="0053433F">
        <w:rPr>
          <w:rFonts w:ascii="Times New Roman" w:hAnsi="Times New Roman" w:cs="Times New Roman"/>
          <w:lang w:val="en-GB"/>
        </w:rPr>
        <w:t>6</w:t>
      </w:r>
      <w:r w:rsidRPr="00A37F5E">
        <w:rPr>
          <w:rFonts w:ascii="Times New Roman" w:hAnsi="Times New Roman" w:cs="Times New Roman"/>
          <w:lang w:val="en-GB"/>
        </w:rPr>
        <w:t>:39, p. 273.</w:t>
      </w:r>
    </w:p>
  </w:footnote>
  <w:footnote w:id="33">
    <w:p w14:paraId="1BA5A20D" w14:textId="2A688353"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In the same sense: </w:t>
      </w:r>
      <w:proofErr w:type="spellStart"/>
      <w:r w:rsidRPr="00A37F5E">
        <w:rPr>
          <w:rFonts w:ascii="Times New Roman" w:hAnsi="Times New Roman" w:cs="Times New Roman"/>
          <w:lang w:val="en-GB"/>
        </w:rPr>
        <w:t>Kuijer</w:t>
      </w:r>
      <w:proofErr w:type="spellEnd"/>
      <w:r w:rsidRPr="00A37F5E">
        <w:rPr>
          <w:rFonts w:ascii="Times New Roman" w:hAnsi="Times New Roman" w:cs="Times New Roman"/>
          <w:lang w:val="en-GB"/>
        </w:rPr>
        <w:t xml:space="preserve">, </w:t>
      </w:r>
      <w:r w:rsidRPr="00A37F5E">
        <w:rPr>
          <w:rFonts w:ascii="Times New Roman" w:hAnsi="Times New Roman" w:cs="Times New Roman"/>
          <w:i/>
          <w:lang w:val="en-GB"/>
        </w:rPr>
        <w:t>The blindfold of Lady Justice</w:t>
      </w:r>
      <w:r w:rsidR="0053433F">
        <w:rPr>
          <w:rFonts w:ascii="Times New Roman" w:hAnsi="Times New Roman" w:cs="Times New Roman"/>
          <w:i/>
          <w:lang w:val="en-GB"/>
        </w:rPr>
        <w:t>.</w:t>
      </w:r>
      <w:r w:rsidRPr="00A37F5E">
        <w:rPr>
          <w:rFonts w:ascii="Times New Roman" w:hAnsi="Times New Roman" w:cs="Times New Roman"/>
          <w:i/>
          <w:lang w:val="en-GB"/>
        </w:rPr>
        <w:t xml:space="preserve"> Judicial Independence and Impartiality in Light of the Requirements of Article 6 ECHR</w:t>
      </w:r>
      <w:r w:rsidRPr="00A37F5E">
        <w:rPr>
          <w:rFonts w:ascii="Times New Roman" w:hAnsi="Times New Roman" w:cs="Times New Roman"/>
          <w:lang w:val="en-GB"/>
        </w:rPr>
        <w:t xml:space="preserve">, (Wolf Legal Publishers, 2004), p. 194. This is also evidenced by the lack of attention to this aspect in </w:t>
      </w:r>
      <w:r w:rsidR="00B13504" w:rsidRPr="00A37F5E">
        <w:rPr>
          <w:rFonts w:ascii="Times New Roman" w:hAnsi="Times New Roman" w:cs="Times New Roman"/>
          <w:lang w:val="en-GB"/>
        </w:rPr>
        <w:t>literature on this topic</w:t>
      </w:r>
      <w:r w:rsidRPr="00A37F5E">
        <w:rPr>
          <w:rFonts w:ascii="Times New Roman" w:hAnsi="Times New Roman" w:cs="Times New Roman"/>
          <w:lang w:val="en-GB"/>
        </w:rPr>
        <w:t>.</w:t>
      </w:r>
      <w:r w:rsidR="00B13504" w:rsidRPr="00A37F5E">
        <w:rPr>
          <w:rFonts w:ascii="Times New Roman" w:hAnsi="Times New Roman" w:cs="Times New Roman"/>
          <w:lang w:val="en-GB"/>
        </w:rPr>
        <w:t xml:space="preserve"> See</w:t>
      </w:r>
      <w:r w:rsidRPr="00A37F5E">
        <w:rPr>
          <w:rFonts w:ascii="Times New Roman" w:hAnsi="Times New Roman" w:cs="Times New Roman"/>
          <w:lang w:val="en-GB"/>
        </w:rPr>
        <w:t xml:space="preserve"> </w:t>
      </w:r>
      <w:r w:rsidR="00B13504" w:rsidRPr="00A37F5E">
        <w:rPr>
          <w:rFonts w:ascii="Times New Roman" w:hAnsi="Times New Roman" w:cs="Times New Roman"/>
          <w:lang w:val="en-GB"/>
        </w:rPr>
        <w:t>f</w:t>
      </w:r>
      <w:r w:rsidRPr="00A37F5E">
        <w:rPr>
          <w:rFonts w:ascii="Times New Roman" w:hAnsi="Times New Roman" w:cs="Times New Roman"/>
          <w:lang w:val="en-GB"/>
        </w:rPr>
        <w:t>or example:</w:t>
      </w:r>
      <w:r w:rsidR="00B13504" w:rsidRPr="00A37F5E">
        <w:rPr>
          <w:rFonts w:ascii="Times New Roman" w:hAnsi="Times New Roman" w:cs="Times New Roman"/>
          <w:lang w:val="en-GB"/>
        </w:rPr>
        <w:t xml:space="preserve"> Wahl and </w:t>
      </w:r>
      <w:proofErr w:type="spellStart"/>
      <w:r w:rsidR="00B13504" w:rsidRPr="00A37F5E">
        <w:rPr>
          <w:rFonts w:ascii="Times New Roman" w:hAnsi="Times New Roman" w:cs="Times New Roman"/>
          <w:lang w:val="en-GB"/>
        </w:rPr>
        <w:t>Prete</w:t>
      </w:r>
      <w:proofErr w:type="spellEnd"/>
      <w:r w:rsidR="00B13504" w:rsidRPr="00A37F5E">
        <w:rPr>
          <w:rFonts w:ascii="Times New Roman" w:hAnsi="Times New Roman" w:cs="Times New Roman"/>
          <w:lang w:val="en-GB"/>
        </w:rPr>
        <w:t>, “The Gatekeepers of Article 267 TFEU: on Jurisdiction and Admissibility of References for Preliminary Rulings”, 55 CML Rev</w:t>
      </w:r>
      <w:r w:rsidR="00245406" w:rsidRPr="00A37F5E">
        <w:rPr>
          <w:rFonts w:ascii="Times New Roman" w:hAnsi="Times New Roman" w:cs="Times New Roman"/>
          <w:lang w:val="en-GB"/>
        </w:rPr>
        <w:t>.</w:t>
      </w:r>
      <w:r w:rsidR="00B13504" w:rsidRPr="00A37F5E">
        <w:rPr>
          <w:rFonts w:ascii="Times New Roman" w:hAnsi="Times New Roman" w:cs="Times New Roman"/>
          <w:lang w:val="en-GB"/>
        </w:rPr>
        <w:t xml:space="preserve"> (2018), pp. 511-548; </w:t>
      </w:r>
      <w:proofErr w:type="spellStart"/>
      <w:r w:rsidR="00B13504" w:rsidRPr="00A37F5E">
        <w:rPr>
          <w:rFonts w:ascii="Times New Roman" w:hAnsi="Times New Roman" w:cs="Times New Roman"/>
          <w:lang w:val="en-GB"/>
        </w:rPr>
        <w:t>Broberg</w:t>
      </w:r>
      <w:proofErr w:type="spellEnd"/>
      <w:r w:rsidR="00B13504" w:rsidRPr="00A37F5E">
        <w:rPr>
          <w:rFonts w:ascii="Times New Roman" w:hAnsi="Times New Roman" w:cs="Times New Roman"/>
          <w:lang w:val="en-GB"/>
        </w:rPr>
        <w:t xml:space="preserve"> and </w:t>
      </w:r>
      <w:proofErr w:type="spellStart"/>
      <w:r w:rsidR="00B13504" w:rsidRPr="00A37F5E">
        <w:rPr>
          <w:rFonts w:ascii="Times New Roman" w:hAnsi="Times New Roman" w:cs="Times New Roman"/>
          <w:lang w:val="en-GB"/>
        </w:rPr>
        <w:t>Fenger</w:t>
      </w:r>
      <w:proofErr w:type="spellEnd"/>
      <w:r w:rsidR="00B13504" w:rsidRPr="00A37F5E">
        <w:rPr>
          <w:rFonts w:ascii="Times New Roman" w:hAnsi="Times New Roman" w:cs="Times New Roman"/>
          <w:lang w:val="en-GB"/>
        </w:rPr>
        <w:t xml:space="preserve">, </w:t>
      </w:r>
      <w:r w:rsidR="00B13504" w:rsidRPr="00A37F5E">
        <w:rPr>
          <w:rFonts w:ascii="Times New Roman" w:hAnsi="Times New Roman" w:cs="Times New Roman"/>
          <w:i/>
          <w:lang w:val="en-GB"/>
        </w:rPr>
        <w:t>Preliminary References to the European Court of Justice</w:t>
      </w:r>
      <w:r w:rsidR="00B13504" w:rsidRPr="00A37F5E">
        <w:rPr>
          <w:rFonts w:ascii="Times New Roman" w:hAnsi="Times New Roman" w:cs="Times New Roman"/>
          <w:lang w:val="en-GB"/>
        </w:rPr>
        <w:t xml:space="preserve"> , 2</w:t>
      </w:r>
      <w:r w:rsidR="00B13504" w:rsidRPr="00A37F5E">
        <w:rPr>
          <w:rFonts w:ascii="Times New Roman" w:hAnsi="Times New Roman" w:cs="Times New Roman"/>
          <w:vertAlign w:val="superscript"/>
          <w:lang w:val="en-GB"/>
        </w:rPr>
        <w:t>nd</w:t>
      </w:r>
      <w:r w:rsidR="00B13504" w:rsidRPr="00A37F5E">
        <w:rPr>
          <w:rFonts w:ascii="Times New Roman" w:hAnsi="Times New Roman" w:cs="Times New Roman"/>
          <w:lang w:val="en-GB"/>
        </w:rPr>
        <w:t xml:space="preserve"> ed. (OUP, 2014), pp. 61-62.</w:t>
      </w:r>
      <w:r w:rsidRPr="00A37F5E">
        <w:rPr>
          <w:rFonts w:ascii="Times New Roman" w:hAnsi="Times New Roman" w:cs="Times New Roman"/>
          <w:color w:val="FF0000"/>
          <w:lang w:val="en-GB"/>
        </w:rPr>
        <w:t xml:space="preserve"> </w:t>
      </w:r>
      <w:r w:rsidRPr="00A37F5E">
        <w:rPr>
          <w:rFonts w:ascii="Times New Roman" w:hAnsi="Times New Roman" w:cs="Times New Roman"/>
          <w:lang w:val="en-GB"/>
        </w:rPr>
        <w:t xml:space="preserve">The same holds true for the right to a tribunal established by law in the framework of the ECHR. See for example: </w:t>
      </w:r>
      <w:proofErr w:type="spellStart"/>
      <w:r w:rsidRPr="00A37F5E">
        <w:rPr>
          <w:rFonts w:ascii="Times New Roman" w:hAnsi="Times New Roman" w:cs="Times New Roman"/>
          <w:lang w:val="en-GB"/>
        </w:rPr>
        <w:t>Barkhuysen</w:t>
      </w:r>
      <w:proofErr w:type="spellEnd"/>
      <w:r w:rsidRPr="00A37F5E">
        <w:rPr>
          <w:rFonts w:ascii="Times New Roman" w:hAnsi="Times New Roman" w:cs="Times New Roman"/>
          <w:lang w:val="en-GB"/>
        </w:rPr>
        <w:t xml:space="preserve">, van </w:t>
      </w:r>
      <w:proofErr w:type="spellStart"/>
      <w:r w:rsidRPr="00A37F5E">
        <w:rPr>
          <w:rFonts w:ascii="Times New Roman" w:hAnsi="Times New Roman" w:cs="Times New Roman"/>
          <w:lang w:val="en-GB"/>
        </w:rPr>
        <w:t>Emmerik</w:t>
      </w:r>
      <w:proofErr w:type="spellEnd"/>
      <w:r w:rsidRPr="00A37F5E">
        <w:rPr>
          <w:rFonts w:ascii="Times New Roman" w:hAnsi="Times New Roman" w:cs="Times New Roman"/>
          <w:lang w:val="en-GB"/>
        </w:rPr>
        <w:t xml:space="preserve">, Jansen and </w:t>
      </w:r>
      <w:proofErr w:type="spellStart"/>
      <w:r w:rsidRPr="00A37F5E">
        <w:rPr>
          <w:rFonts w:ascii="Times New Roman" w:hAnsi="Times New Roman" w:cs="Times New Roman"/>
          <w:lang w:val="en-GB"/>
        </w:rPr>
        <w:t>Fedorova</w:t>
      </w:r>
      <w:proofErr w:type="spellEnd"/>
      <w:r w:rsidRPr="00A37F5E">
        <w:rPr>
          <w:rFonts w:ascii="Times New Roman" w:hAnsi="Times New Roman" w:cs="Times New Roman"/>
          <w:lang w:val="en-GB"/>
        </w:rPr>
        <w:t xml:space="preserve">, “Right to a Fair Trial” in van </w:t>
      </w:r>
      <w:proofErr w:type="spellStart"/>
      <w:r w:rsidRPr="00A37F5E">
        <w:rPr>
          <w:rFonts w:ascii="Times New Roman" w:hAnsi="Times New Roman" w:cs="Times New Roman"/>
          <w:lang w:val="en-GB"/>
        </w:rPr>
        <w:t>Dijk</w:t>
      </w:r>
      <w:proofErr w:type="spellEnd"/>
      <w:r w:rsidRPr="00A37F5E">
        <w:rPr>
          <w:rFonts w:ascii="Times New Roman" w:hAnsi="Times New Roman" w:cs="Times New Roman"/>
          <w:lang w:val="en-GB"/>
        </w:rPr>
        <w:t xml:space="preserve">, van Hoof, van Rijn and </w:t>
      </w:r>
      <w:proofErr w:type="spellStart"/>
      <w:r w:rsidRPr="00A37F5E">
        <w:rPr>
          <w:rFonts w:ascii="Times New Roman" w:hAnsi="Times New Roman" w:cs="Times New Roman"/>
          <w:lang w:val="en-GB"/>
        </w:rPr>
        <w:t>Zwaak</w:t>
      </w:r>
      <w:proofErr w:type="spellEnd"/>
      <w:r w:rsidRPr="00A37F5E">
        <w:rPr>
          <w:rFonts w:ascii="Times New Roman" w:hAnsi="Times New Roman" w:cs="Times New Roman"/>
          <w:lang w:val="en-GB"/>
        </w:rPr>
        <w:t xml:space="preserve"> (eds.), </w:t>
      </w:r>
      <w:r w:rsidRPr="00A37F5E">
        <w:rPr>
          <w:rFonts w:ascii="Times New Roman" w:hAnsi="Times New Roman" w:cs="Times New Roman"/>
          <w:i/>
          <w:lang w:val="en-GB"/>
        </w:rPr>
        <w:t>Theory and Practice of the European Convention on Human Rights</w:t>
      </w:r>
      <w:r w:rsidRPr="00A37F5E">
        <w:rPr>
          <w:rFonts w:ascii="Times New Roman" w:hAnsi="Times New Roman" w:cs="Times New Roman"/>
          <w:lang w:val="en-GB"/>
        </w:rPr>
        <w:t>, 5</w:t>
      </w:r>
      <w:r w:rsidRPr="00A37F5E">
        <w:rPr>
          <w:rFonts w:ascii="Times New Roman" w:hAnsi="Times New Roman" w:cs="Times New Roman"/>
          <w:vertAlign w:val="superscript"/>
          <w:lang w:val="en-GB"/>
        </w:rPr>
        <w:t>th</w:t>
      </w:r>
      <w:r w:rsidRPr="00A37F5E">
        <w:rPr>
          <w:rFonts w:ascii="Times New Roman" w:hAnsi="Times New Roman" w:cs="Times New Roman"/>
          <w:lang w:val="en-GB"/>
        </w:rPr>
        <w:t xml:space="preserve"> ed. (Intersentia, 2018), pp. 611-612; </w:t>
      </w:r>
      <w:proofErr w:type="spellStart"/>
      <w:r w:rsidRPr="00A37F5E">
        <w:rPr>
          <w:rFonts w:ascii="Times New Roman" w:hAnsi="Times New Roman" w:cs="Times New Roman"/>
          <w:lang w:val="en-GB"/>
        </w:rPr>
        <w:t>Shabas</w:t>
      </w:r>
      <w:proofErr w:type="spellEnd"/>
      <w:r w:rsidRPr="00A37F5E">
        <w:rPr>
          <w:rFonts w:ascii="Times New Roman" w:hAnsi="Times New Roman" w:cs="Times New Roman"/>
          <w:lang w:val="en-GB"/>
        </w:rPr>
        <w:t xml:space="preserve">, </w:t>
      </w:r>
      <w:r w:rsidRPr="00A37F5E">
        <w:rPr>
          <w:rFonts w:ascii="Times New Roman" w:hAnsi="Times New Roman" w:cs="Times New Roman"/>
          <w:i/>
          <w:lang w:val="en-GB"/>
        </w:rPr>
        <w:t>The European Convention on Human Rights: A Commentary</w:t>
      </w:r>
      <w:r w:rsidRPr="00A37F5E">
        <w:rPr>
          <w:rFonts w:ascii="Times New Roman" w:hAnsi="Times New Roman" w:cs="Times New Roman"/>
          <w:lang w:val="en-GB"/>
        </w:rPr>
        <w:t xml:space="preserve"> (OUP, 2015), pp. 294-296.</w:t>
      </w:r>
    </w:p>
  </w:footnote>
  <w:footnote w:id="34">
    <w:p w14:paraId="455C3B91" w14:textId="5C83DB2F"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C-296/15, </w:t>
      </w:r>
      <w:proofErr w:type="spellStart"/>
      <w:r w:rsidRPr="00A37F5E">
        <w:rPr>
          <w:rFonts w:ascii="Times New Roman" w:hAnsi="Times New Roman" w:cs="Times New Roman"/>
          <w:i/>
          <w:lang w:val="fr-BE"/>
        </w:rPr>
        <w:t>Medisanus</w:t>
      </w:r>
      <w:proofErr w:type="spellEnd"/>
      <w:r w:rsidRPr="00A37F5E">
        <w:rPr>
          <w:rFonts w:ascii="Times New Roman" w:hAnsi="Times New Roman" w:cs="Times New Roman"/>
          <w:lang w:val="fr-BE"/>
        </w:rPr>
        <w:t xml:space="preserve">, EU:C:2017:431, paras 33-35; Case C-503/15, </w:t>
      </w:r>
      <w:proofErr w:type="spellStart"/>
      <w:r w:rsidRPr="00A37F5E">
        <w:rPr>
          <w:rFonts w:ascii="Times New Roman" w:hAnsi="Times New Roman" w:cs="Times New Roman"/>
          <w:i/>
          <w:lang w:val="fr-BE"/>
        </w:rPr>
        <w:t>Margarit</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Panicello</w:t>
      </w:r>
      <w:proofErr w:type="spellEnd"/>
      <w:r w:rsidRPr="00A37F5E">
        <w:rPr>
          <w:rFonts w:ascii="Times New Roman" w:hAnsi="Times New Roman" w:cs="Times New Roman"/>
          <w:lang w:val="fr-BE"/>
        </w:rPr>
        <w:t xml:space="preserve">, EU:C:2017:126, paras 27-30; Case C-443/09, </w:t>
      </w:r>
      <w:r w:rsidRPr="00A37F5E">
        <w:rPr>
          <w:rFonts w:ascii="Times New Roman" w:hAnsi="Times New Roman" w:cs="Times New Roman"/>
          <w:i/>
          <w:lang w:val="fr-BE"/>
        </w:rPr>
        <w:t xml:space="preserve">Grillo Star </w:t>
      </w:r>
      <w:proofErr w:type="spellStart"/>
      <w:r w:rsidRPr="00A37F5E">
        <w:rPr>
          <w:rFonts w:ascii="Times New Roman" w:hAnsi="Times New Roman" w:cs="Times New Roman"/>
          <w:i/>
          <w:lang w:val="fr-BE"/>
        </w:rPr>
        <w:t>Fallimento</w:t>
      </w:r>
      <w:proofErr w:type="spellEnd"/>
      <w:r w:rsidRPr="00A37F5E">
        <w:rPr>
          <w:rFonts w:ascii="Times New Roman" w:hAnsi="Times New Roman" w:cs="Times New Roman"/>
          <w:lang w:val="fr-BE"/>
        </w:rPr>
        <w:t>, EU:C:2012:213, paras 20-26.</w:t>
      </w:r>
    </w:p>
  </w:footnote>
  <w:footnote w:id="35">
    <w:p w14:paraId="15DB5C07" w14:textId="5CA59C8E"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C-274/14, </w:t>
      </w:r>
      <w:r w:rsidRPr="00A37F5E">
        <w:rPr>
          <w:rFonts w:ascii="Times New Roman" w:hAnsi="Times New Roman" w:cs="Times New Roman"/>
          <w:i/>
          <w:lang w:val="fr-BE"/>
        </w:rPr>
        <w:t>Banco de Santander</w:t>
      </w:r>
      <w:r w:rsidRPr="00A37F5E">
        <w:rPr>
          <w:rFonts w:ascii="Times New Roman" w:hAnsi="Times New Roman" w:cs="Times New Roman"/>
          <w:lang w:val="fr-BE"/>
        </w:rPr>
        <w:t xml:space="preserve">, EU:C:2020:17, para 52; Case C-546/16, </w:t>
      </w:r>
      <w:proofErr w:type="spellStart"/>
      <w:r w:rsidRPr="00A37F5E">
        <w:rPr>
          <w:rFonts w:ascii="Times New Roman" w:hAnsi="Times New Roman" w:cs="Times New Roman"/>
          <w:i/>
          <w:lang w:val="fr-BE"/>
        </w:rPr>
        <w:t>Montte</w:t>
      </w:r>
      <w:proofErr w:type="spellEnd"/>
      <w:r w:rsidRPr="00A37F5E">
        <w:rPr>
          <w:rFonts w:ascii="Times New Roman" w:hAnsi="Times New Roman" w:cs="Times New Roman"/>
          <w:lang w:val="fr-BE"/>
        </w:rPr>
        <w:t xml:space="preserve">, EU:C:2018:752, para 22; Case C-203/14, </w:t>
      </w:r>
      <w:proofErr w:type="spellStart"/>
      <w:r w:rsidRPr="00A37F5E">
        <w:rPr>
          <w:rFonts w:ascii="Times New Roman" w:hAnsi="Times New Roman" w:cs="Times New Roman"/>
          <w:i/>
          <w:lang w:val="fr-BE"/>
        </w:rPr>
        <w:t>Consorci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Sanitari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del</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Maresme</w:t>
      </w:r>
      <w:proofErr w:type="spellEnd"/>
      <w:r w:rsidRPr="00A37F5E">
        <w:rPr>
          <w:rFonts w:ascii="Times New Roman" w:hAnsi="Times New Roman" w:cs="Times New Roman"/>
          <w:lang w:val="fr-BE"/>
        </w:rPr>
        <w:t xml:space="preserve">, EU:C:2015:664, para 18; </w:t>
      </w:r>
      <w:proofErr w:type="spellStart"/>
      <w:r w:rsidR="008F5B10" w:rsidRPr="00A37F5E">
        <w:rPr>
          <w:rFonts w:ascii="Times New Roman" w:hAnsi="Times New Roman" w:cs="Times New Roman"/>
          <w:lang w:val="fr-BE"/>
        </w:rPr>
        <w:t>Joined</w:t>
      </w:r>
      <w:proofErr w:type="spellEnd"/>
      <w:r w:rsidR="008F5B10" w:rsidRPr="00A37F5E">
        <w:rPr>
          <w:rFonts w:ascii="Times New Roman" w:hAnsi="Times New Roman" w:cs="Times New Roman"/>
          <w:lang w:val="fr-BE"/>
        </w:rPr>
        <w:t xml:space="preserve"> Cases</w:t>
      </w:r>
      <w:r w:rsidRPr="00A37F5E">
        <w:rPr>
          <w:rFonts w:ascii="Times New Roman" w:hAnsi="Times New Roman" w:cs="Times New Roman"/>
          <w:lang w:val="fr-BE"/>
        </w:rPr>
        <w:t xml:space="preserve"> C-58/13 &amp; 59/13, </w:t>
      </w:r>
      <w:proofErr w:type="spellStart"/>
      <w:r w:rsidRPr="00A37F5E">
        <w:rPr>
          <w:rFonts w:ascii="Times New Roman" w:hAnsi="Times New Roman" w:cs="Times New Roman"/>
          <w:i/>
          <w:lang w:val="fr-BE"/>
        </w:rPr>
        <w:t>Torresi</w:t>
      </w:r>
      <w:proofErr w:type="spellEnd"/>
      <w:r w:rsidRPr="00A37F5E">
        <w:rPr>
          <w:rFonts w:ascii="Times New Roman" w:hAnsi="Times New Roman" w:cs="Times New Roman"/>
          <w:lang w:val="fr-BE"/>
        </w:rPr>
        <w:t>, EU:C:2014:2088, para 20.</w:t>
      </w:r>
    </w:p>
  </w:footnote>
  <w:footnote w:id="36">
    <w:p w14:paraId="3F18CC67" w14:textId="222D0750"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For </w:t>
      </w:r>
      <w:proofErr w:type="spellStart"/>
      <w:r w:rsidRPr="00A37F5E">
        <w:rPr>
          <w:rFonts w:ascii="Times New Roman" w:hAnsi="Times New Roman" w:cs="Times New Roman"/>
          <w:lang w:val="fr-BE"/>
        </w:rPr>
        <w:t>example</w:t>
      </w:r>
      <w:proofErr w:type="spellEnd"/>
      <w:r w:rsidRPr="00A37F5E">
        <w:rPr>
          <w:rFonts w:ascii="Times New Roman" w:hAnsi="Times New Roman" w:cs="Times New Roman"/>
          <w:lang w:val="fr-BE"/>
        </w:rPr>
        <w:t xml:space="preserve">: Case C-136/11, </w:t>
      </w:r>
      <w:proofErr w:type="spellStart"/>
      <w:r w:rsidRPr="00A37F5E">
        <w:rPr>
          <w:rFonts w:ascii="Times New Roman" w:hAnsi="Times New Roman" w:cs="Times New Roman"/>
          <w:i/>
          <w:lang w:val="fr-BE"/>
        </w:rPr>
        <w:t>Westbahn</w:t>
      </w:r>
      <w:proofErr w:type="spellEnd"/>
      <w:r w:rsidRPr="00A37F5E">
        <w:rPr>
          <w:rFonts w:ascii="Times New Roman" w:hAnsi="Times New Roman" w:cs="Times New Roman"/>
          <w:i/>
          <w:lang w:val="fr-BE"/>
        </w:rPr>
        <w:t xml:space="preserve"> Management</w:t>
      </w:r>
      <w:r w:rsidRPr="00A37F5E">
        <w:rPr>
          <w:rFonts w:ascii="Times New Roman" w:hAnsi="Times New Roman" w:cs="Times New Roman"/>
          <w:lang w:val="fr-BE"/>
        </w:rPr>
        <w:t xml:space="preserve">, EU:C:2012:740, para 28; Case C-54/96, </w:t>
      </w:r>
      <w:proofErr w:type="spellStart"/>
      <w:r w:rsidRPr="00A37F5E">
        <w:rPr>
          <w:rFonts w:ascii="Times New Roman" w:hAnsi="Times New Roman" w:cs="Times New Roman"/>
          <w:i/>
          <w:lang w:val="fr-BE"/>
        </w:rPr>
        <w:t>Dorsch</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Consult</w:t>
      </w:r>
      <w:proofErr w:type="spellEnd"/>
      <w:r w:rsidRPr="00A37F5E">
        <w:rPr>
          <w:rFonts w:ascii="Times New Roman" w:hAnsi="Times New Roman" w:cs="Times New Roman"/>
          <w:lang w:val="fr-BE"/>
        </w:rPr>
        <w:t xml:space="preserve">, EU:C:1997:413, para 25. </w:t>
      </w:r>
      <w:proofErr w:type="spellStart"/>
      <w:r w:rsidRPr="00A37F5E">
        <w:rPr>
          <w:rFonts w:ascii="Times New Roman" w:hAnsi="Times New Roman" w:cs="Times New Roman"/>
          <w:lang w:val="fr-BE"/>
        </w:rPr>
        <w:t>See</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also</w:t>
      </w:r>
      <w:proofErr w:type="spellEnd"/>
      <w:r w:rsidRPr="00A37F5E">
        <w:rPr>
          <w:rFonts w:ascii="Times New Roman" w:hAnsi="Times New Roman" w:cs="Times New Roman"/>
          <w:lang w:val="fr-BE"/>
        </w:rPr>
        <w:t xml:space="preserve">: Opinion 1/17, </w:t>
      </w:r>
      <w:r w:rsidRPr="00A37F5E">
        <w:rPr>
          <w:rFonts w:ascii="Times New Roman" w:hAnsi="Times New Roman" w:cs="Times New Roman"/>
          <w:i/>
          <w:lang w:val="fr-BE"/>
        </w:rPr>
        <w:t>Accord ECG UE-Canada</w:t>
      </w:r>
      <w:r w:rsidRPr="00A37F5E">
        <w:rPr>
          <w:rFonts w:ascii="Times New Roman" w:hAnsi="Times New Roman" w:cs="Times New Roman"/>
          <w:lang w:val="fr-BE"/>
        </w:rPr>
        <w:t xml:space="preserve">, EU:C:2019:341, para 197. </w:t>
      </w:r>
    </w:p>
  </w:footnote>
  <w:footnote w:id="37">
    <w:p w14:paraId="4EAC4DA5" w14:textId="7DB8B8ED"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Seeing as most Member States virtually always enshrine the legal basis for judicial bodies in primary legislation, it is not easy to say this with absolute certainty. The ECJ has, to the best of my knowledge, never explicitly addressed the question whether the establishment of a tribunal should be done in primary legislation or can also be in subordinate legislation. In </w:t>
      </w:r>
      <w:proofErr w:type="spellStart"/>
      <w:r w:rsidRPr="00A37F5E">
        <w:rPr>
          <w:rFonts w:ascii="Times New Roman" w:hAnsi="Times New Roman" w:cs="Times New Roman"/>
          <w:i/>
          <w:lang w:val="en-GB"/>
        </w:rPr>
        <w:t>Vaassen-Göbbels</w:t>
      </w:r>
      <w:proofErr w:type="spellEnd"/>
      <w:r w:rsidRPr="00A37F5E">
        <w:rPr>
          <w:rFonts w:ascii="Times New Roman" w:hAnsi="Times New Roman" w:cs="Times New Roman"/>
          <w:lang w:val="en-GB"/>
        </w:rPr>
        <w:t>, the Court accepted that the Arbitration Tribunal of the Fund for non-manual workers employed in the mining industry, a tribunal established by</w:t>
      </w:r>
      <w:r w:rsidR="003C03BB">
        <w:rPr>
          <w:rFonts w:ascii="Times New Roman" w:hAnsi="Times New Roman" w:cs="Times New Roman"/>
          <w:lang w:val="en-GB"/>
        </w:rPr>
        <w:t xml:space="preserve"> a</w:t>
      </w:r>
      <w:r w:rsidRPr="00A37F5E">
        <w:rPr>
          <w:rFonts w:ascii="Times New Roman" w:hAnsi="Times New Roman" w:cs="Times New Roman"/>
          <w:lang w:val="en-GB"/>
        </w:rPr>
        <w:t xml:space="preserve"> regulation that was promulgated by an institution established under private law, was properly established by law. This would indicate that the Court also allows subordinate legislation. See for the same conclusion: </w:t>
      </w:r>
      <w:proofErr w:type="spellStart"/>
      <w:r w:rsidRPr="00A37F5E">
        <w:rPr>
          <w:rFonts w:ascii="Times New Roman" w:hAnsi="Times New Roman" w:cs="Times New Roman"/>
          <w:lang w:val="en-GB"/>
        </w:rPr>
        <w:t>Broberg</w:t>
      </w:r>
      <w:proofErr w:type="spellEnd"/>
      <w:r w:rsidRPr="00A37F5E">
        <w:rPr>
          <w:rFonts w:ascii="Times New Roman" w:hAnsi="Times New Roman" w:cs="Times New Roman"/>
          <w:lang w:val="en-GB"/>
        </w:rPr>
        <w:t>, “Preliminary References by Public Administrative Bodies</w:t>
      </w:r>
      <w:r w:rsidR="003C03BB">
        <w:rPr>
          <w:rFonts w:ascii="Times New Roman" w:hAnsi="Times New Roman" w:cs="Times New Roman"/>
          <w:lang w:val="en-GB"/>
        </w:rPr>
        <w:t>:</w:t>
      </w:r>
      <w:r w:rsidRPr="00A37F5E">
        <w:rPr>
          <w:rFonts w:ascii="Times New Roman" w:hAnsi="Times New Roman" w:cs="Times New Roman"/>
          <w:lang w:val="en-GB"/>
        </w:rPr>
        <w:t xml:space="preserve"> When are public administrative bodies competent to make preliminary references to the European Co</w:t>
      </w:r>
      <w:r w:rsidR="004E720B" w:rsidRPr="00A37F5E">
        <w:rPr>
          <w:rFonts w:ascii="Times New Roman" w:hAnsi="Times New Roman" w:cs="Times New Roman"/>
          <w:lang w:val="en-GB"/>
        </w:rPr>
        <w:t>urt of Justice?”, 15 EPL (2009)</w:t>
      </w:r>
      <w:r w:rsidR="003C03BB">
        <w:rPr>
          <w:rFonts w:ascii="Times New Roman" w:hAnsi="Times New Roman" w:cs="Times New Roman"/>
          <w:lang w:val="en-GB"/>
        </w:rPr>
        <w:t>, pp. 207-221, at</w:t>
      </w:r>
      <w:r w:rsidRPr="00A37F5E">
        <w:rPr>
          <w:rFonts w:ascii="Times New Roman" w:hAnsi="Times New Roman" w:cs="Times New Roman"/>
          <w:lang w:val="en-GB"/>
        </w:rPr>
        <w:t xml:space="preserve"> pp. 208-209.</w:t>
      </w:r>
    </w:p>
  </w:footnote>
  <w:footnote w:id="38">
    <w:p w14:paraId="093D99A1" w14:textId="55228E6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in this sense also the Opinion of AG </w:t>
      </w:r>
      <w:proofErr w:type="spellStart"/>
      <w:r w:rsidRPr="00A37F5E">
        <w:rPr>
          <w:rFonts w:ascii="Times New Roman" w:hAnsi="Times New Roman" w:cs="Times New Roman"/>
          <w:lang w:val="en-GB"/>
        </w:rPr>
        <w:t>Jääskinen</w:t>
      </w:r>
      <w:proofErr w:type="spellEnd"/>
      <w:r w:rsidRPr="00A37F5E">
        <w:rPr>
          <w:rFonts w:ascii="Times New Roman" w:hAnsi="Times New Roman" w:cs="Times New Roman"/>
          <w:lang w:val="en-GB"/>
        </w:rPr>
        <w:t xml:space="preserve"> in Case C-203/14, </w:t>
      </w:r>
      <w:proofErr w:type="spellStart"/>
      <w:r w:rsidRPr="00A37F5E">
        <w:rPr>
          <w:rFonts w:ascii="Times New Roman" w:hAnsi="Times New Roman" w:cs="Times New Roman"/>
          <w:i/>
          <w:lang w:val="en-GB"/>
        </w:rPr>
        <w:t>Consorci</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Sanitari</w:t>
      </w:r>
      <w:proofErr w:type="spellEnd"/>
      <w:r w:rsidRPr="00A37F5E">
        <w:rPr>
          <w:rFonts w:ascii="Times New Roman" w:hAnsi="Times New Roman" w:cs="Times New Roman"/>
          <w:i/>
          <w:lang w:val="en-GB"/>
        </w:rPr>
        <w:t xml:space="preserve"> del </w:t>
      </w:r>
      <w:proofErr w:type="spellStart"/>
      <w:r w:rsidRPr="00A37F5E">
        <w:rPr>
          <w:rFonts w:ascii="Times New Roman" w:hAnsi="Times New Roman" w:cs="Times New Roman"/>
          <w:i/>
          <w:lang w:val="en-GB"/>
        </w:rPr>
        <w:t>Maresme</w:t>
      </w:r>
      <w:proofErr w:type="spellEnd"/>
      <w:r w:rsidRPr="00A37F5E">
        <w:rPr>
          <w:rFonts w:ascii="Times New Roman" w:hAnsi="Times New Roman" w:cs="Times New Roman"/>
          <w:lang w:val="en-GB"/>
        </w:rPr>
        <w:t xml:space="preserve">, EU:C:2015:445, para 22. He held that since the provision in question contained provisions concerning, in particular, the establishment, jurisdiction and composition of the tribunal, the criterion of the body’s establishment by law was clearly satisfied. </w:t>
      </w:r>
    </w:p>
  </w:footnote>
  <w:footnote w:id="39">
    <w:p w14:paraId="21C6511A" w14:textId="06858208"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Case C-413/18 P, </w:t>
      </w:r>
      <w:r w:rsidRPr="00A37F5E">
        <w:rPr>
          <w:rFonts w:ascii="Times New Roman" w:hAnsi="Times New Roman" w:cs="Times New Roman"/>
          <w:i/>
          <w:lang w:val="en-GB"/>
        </w:rPr>
        <w:t>H</w:t>
      </w:r>
      <w:r w:rsidRPr="00A37F5E">
        <w:rPr>
          <w:rFonts w:ascii="Times New Roman" w:hAnsi="Times New Roman" w:cs="Times New Roman"/>
          <w:lang w:val="en-GB"/>
        </w:rPr>
        <w:t xml:space="preserve"> v</w:t>
      </w:r>
      <w:r w:rsidR="004E720B" w:rsidRPr="00A37F5E">
        <w:rPr>
          <w:rFonts w:ascii="Times New Roman" w:hAnsi="Times New Roman" w:cs="Times New Roman"/>
          <w:lang w:val="en-GB"/>
        </w:rPr>
        <w:t>.</w:t>
      </w:r>
      <w:r w:rsidRPr="00A37F5E">
        <w:rPr>
          <w:rFonts w:ascii="Times New Roman" w:hAnsi="Times New Roman" w:cs="Times New Roman"/>
          <w:lang w:val="en-GB"/>
        </w:rPr>
        <w:t xml:space="preserve"> </w:t>
      </w:r>
      <w:r w:rsidRPr="00A37F5E">
        <w:rPr>
          <w:rFonts w:ascii="Times New Roman" w:hAnsi="Times New Roman" w:cs="Times New Roman"/>
          <w:i/>
          <w:lang w:val="en-GB"/>
        </w:rPr>
        <w:t>Council</w:t>
      </w:r>
      <w:r w:rsidRPr="00A37F5E">
        <w:rPr>
          <w:rFonts w:ascii="Times New Roman" w:hAnsi="Times New Roman" w:cs="Times New Roman"/>
          <w:lang w:val="en-GB"/>
        </w:rPr>
        <w:t xml:space="preserve">, EU:C:2019:1044, para 61; Case T-729/15, </w:t>
      </w:r>
      <w:r w:rsidRPr="00A37F5E">
        <w:rPr>
          <w:rFonts w:ascii="Times New Roman" w:hAnsi="Times New Roman" w:cs="Times New Roman"/>
          <w:i/>
          <w:lang w:val="en-GB"/>
        </w:rPr>
        <w:t xml:space="preserve">MSD Animal Health Innovation and </w:t>
      </w:r>
      <w:proofErr w:type="spellStart"/>
      <w:r w:rsidRPr="00A37F5E">
        <w:rPr>
          <w:rFonts w:ascii="Times New Roman" w:hAnsi="Times New Roman" w:cs="Times New Roman"/>
          <w:i/>
          <w:lang w:val="en-GB"/>
        </w:rPr>
        <w:t>Intervet</w:t>
      </w:r>
      <w:proofErr w:type="spellEnd"/>
      <w:r w:rsidRPr="00A37F5E">
        <w:rPr>
          <w:rFonts w:ascii="Times New Roman" w:hAnsi="Times New Roman" w:cs="Times New Roman"/>
          <w:i/>
          <w:lang w:val="en-GB"/>
        </w:rPr>
        <w:t xml:space="preserve"> international </w:t>
      </w:r>
      <w:r w:rsidRPr="00A37F5E">
        <w:rPr>
          <w:rFonts w:ascii="Times New Roman" w:hAnsi="Times New Roman" w:cs="Times New Roman"/>
          <w:lang w:val="en-GB"/>
        </w:rPr>
        <w:t>v</w:t>
      </w:r>
      <w:r w:rsidR="004E720B" w:rsidRPr="00A37F5E">
        <w:rPr>
          <w:rFonts w:ascii="Times New Roman" w:hAnsi="Times New Roman" w:cs="Times New Roman"/>
          <w:lang w:val="en-GB"/>
        </w:rPr>
        <w:t>.</w:t>
      </w:r>
      <w:r w:rsidRPr="00A37F5E">
        <w:rPr>
          <w:rFonts w:ascii="Times New Roman" w:hAnsi="Times New Roman" w:cs="Times New Roman"/>
          <w:i/>
          <w:lang w:val="en-GB"/>
        </w:rPr>
        <w:t xml:space="preserve"> EMA</w:t>
      </w:r>
      <w:r w:rsidRPr="00A37F5E">
        <w:rPr>
          <w:rFonts w:ascii="Times New Roman" w:hAnsi="Times New Roman" w:cs="Times New Roman"/>
          <w:lang w:val="en-GB"/>
        </w:rPr>
        <w:t xml:space="preserve">, EU:T:2016:435, paras 119-120; Case T-718/15 R, </w:t>
      </w:r>
      <w:r w:rsidRPr="00A37F5E">
        <w:rPr>
          <w:rFonts w:ascii="Times New Roman" w:hAnsi="Times New Roman" w:cs="Times New Roman"/>
          <w:i/>
          <w:lang w:val="en-GB"/>
        </w:rPr>
        <w:t xml:space="preserve">PTC Therapeutics International </w:t>
      </w:r>
      <w:r w:rsidRPr="00A37F5E">
        <w:rPr>
          <w:rFonts w:ascii="Times New Roman" w:hAnsi="Times New Roman" w:cs="Times New Roman"/>
          <w:lang w:val="en-GB"/>
        </w:rPr>
        <w:t>v</w:t>
      </w:r>
      <w:r w:rsidR="004E720B" w:rsidRPr="00A37F5E">
        <w:rPr>
          <w:rFonts w:ascii="Times New Roman" w:hAnsi="Times New Roman" w:cs="Times New Roman"/>
          <w:lang w:val="en-GB"/>
        </w:rPr>
        <w:t>.</w:t>
      </w:r>
      <w:r w:rsidRPr="00A37F5E">
        <w:rPr>
          <w:rFonts w:ascii="Times New Roman" w:hAnsi="Times New Roman" w:cs="Times New Roman"/>
          <w:i/>
          <w:lang w:val="en-GB"/>
        </w:rPr>
        <w:t xml:space="preserve"> EMA</w:t>
      </w:r>
      <w:r w:rsidR="004E720B" w:rsidRPr="00A37F5E">
        <w:rPr>
          <w:rFonts w:ascii="Times New Roman" w:hAnsi="Times New Roman" w:cs="Times New Roman"/>
          <w:lang w:val="en-GB"/>
        </w:rPr>
        <w:t>, EU:T:2016:425, paras 127-129;</w:t>
      </w:r>
      <w:r w:rsidRPr="00A37F5E">
        <w:rPr>
          <w:rFonts w:ascii="Times New Roman" w:hAnsi="Times New Roman" w:cs="Times New Roman"/>
          <w:lang w:val="en-GB"/>
        </w:rPr>
        <w:t xml:space="preserve"> Case C-127/13 P, </w:t>
      </w:r>
      <w:proofErr w:type="spellStart"/>
      <w:r w:rsidRPr="00A37F5E">
        <w:rPr>
          <w:rFonts w:ascii="Times New Roman" w:hAnsi="Times New Roman" w:cs="Times New Roman"/>
          <w:i/>
          <w:lang w:val="en-GB"/>
        </w:rPr>
        <w:t>Strack</w:t>
      </w:r>
      <w:proofErr w:type="spellEnd"/>
      <w:r w:rsidRPr="00A37F5E">
        <w:rPr>
          <w:rFonts w:ascii="Times New Roman" w:hAnsi="Times New Roman" w:cs="Times New Roman"/>
          <w:lang w:val="en-GB"/>
        </w:rPr>
        <w:t xml:space="preserve">, EU:C:2014:2250, paras 48-55; </w:t>
      </w:r>
      <w:r w:rsidR="00B31E39" w:rsidRPr="00A37F5E">
        <w:rPr>
          <w:rFonts w:ascii="Times New Roman" w:hAnsi="Times New Roman" w:cs="Times New Roman"/>
          <w:lang w:val="en-GB"/>
        </w:rPr>
        <w:t xml:space="preserve">Case T-199/11 P, </w:t>
      </w:r>
      <w:proofErr w:type="spellStart"/>
      <w:r w:rsidR="00B31E39" w:rsidRPr="00A37F5E">
        <w:rPr>
          <w:rFonts w:ascii="Times New Roman" w:hAnsi="Times New Roman" w:cs="Times New Roman"/>
          <w:i/>
          <w:lang w:val="en-GB"/>
        </w:rPr>
        <w:t>Strack</w:t>
      </w:r>
      <w:proofErr w:type="spellEnd"/>
      <w:r w:rsidR="00B31E39" w:rsidRPr="00A37F5E">
        <w:rPr>
          <w:rFonts w:ascii="Times New Roman" w:hAnsi="Times New Roman" w:cs="Times New Roman"/>
          <w:i/>
          <w:lang w:val="en-GB"/>
        </w:rPr>
        <w:t xml:space="preserve"> </w:t>
      </w:r>
      <w:r w:rsidR="00B31E39" w:rsidRPr="00A37F5E">
        <w:rPr>
          <w:rFonts w:ascii="Times New Roman" w:hAnsi="Times New Roman" w:cs="Times New Roman"/>
          <w:lang w:val="en-GB"/>
        </w:rPr>
        <w:t xml:space="preserve">v. </w:t>
      </w:r>
      <w:r w:rsidR="00B31E39" w:rsidRPr="00A37F5E">
        <w:rPr>
          <w:rFonts w:ascii="Times New Roman" w:hAnsi="Times New Roman" w:cs="Times New Roman"/>
          <w:i/>
          <w:lang w:val="en-GB"/>
        </w:rPr>
        <w:t>Commission</w:t>
      </w:r>
      <w:r w:rsidR="00B31E39" w:rsidRPr="00A37F5E">
        <w:rPr>
          <w:rFonts w:ascii="Times New Roman" w:hAnsi="Times New Roman" w:cs="Times New Roman"/>
          <w:lang w:val="en-GB"/>
        </w:rPr>
        <w:t xml:space="preserve">, EU:T:2012:691, paras 19-29; </w:t>
      </w:r>
      <w:r w:rsidRPr="00A37F5E">
        <w:rPr>
          <w:rFonts w:ascii="Times New Roman" w:hAnsi="Times New Roman" w:cs="Times New Roman"/>
          <w:lang w:val="en-GB"/>
        </w:rPr>
        <w:t xml:space="preserve">Case C-528/08 P, </w:t>
      </w:r>
      <w:proofErr w:type="spellStart"/>
      <w:r w:rsidRPr="00A37F5E">
        <w:rPr>
          <w:rFonts w:ascii="Times New Roman" w:hAnsi="Times New Roman" w:cs="Times New Roman"/>
          <w:i/>
          <w:lang w:val="en-GB"/>
        </w:rPr>
        <w:t>Marcuccio</w:t>
      </w:r>
      <w:proofErr w:type="spellEnd"/>
      <w:r w:rsidRPr="00A37F5E">
        <w:rPr>
          <w:rFonts w:ascii="Times New Roman" w:hAnsi="Times New Roman" w:cs="Times New Roman"/>
          <w:lang w:val="en-GB"/>
        </w:rPr>
        <w:t xml:space="preserve">, EU:C:2009:761, para 58; Case C-182/99 P, </w:t>
      </w:r>
      <w:r w:rsidRPr="00A37F5E">
        <w:rPr>
          <w:rFonts w:ascii="Times New Roman" w:hAnsi="Times New Roman" w:cs="Times New Roman"/>
          <w:i/>
          <w:lang w:val="en-GB"/>
        </w:rPr>
        <w:t xml:space="preserve">Salzgitter AG </w:t>
      </w:r>
      <w:r w:rsidRPr="00A37F5E">
        <w:rPr>
          <w:rFonts w:ascii="Times New Roman" w:hAnsi="Times New Roman" w:cs="Times New Roman"/>
          <w:lang w:val="en-GB"/>
        </w:rPr>
        <w:t xml:space="preserve">v. </w:t>
      </w:r>
      <w:r w:rsidRPr="00A37F5E">
        <w:rPr>
          <w:rFonts w:ascii="Times New Roman" w:hAnsi="Times New Roman" w:cs="Times New Roman"/>
          <w:i/>
          <w:lang w:val="en-GB"/>
        </w:rPr>
        <w:t>Commission</w:t>
      </w:r>
      <w:r w:rsidRPr="00A37F5E">
        <w:rPr>
          <w:rFonts w:ascii="Times New Roman" w:hAnsi="Times New Roman" w:cs="Times New Roman"/>
          <w:lang w:val="en-GB"/>
        </w:rPr>
        <w:t xml:space="preserve">, EU:C:2003:526, paras 28-37; Case C-103/97, </w:t>
      </w:r>
      <w:proofErr w:type="spellStart"/>
      <w:r w:rsidRPr="00A37F5E">
        <w:rPr>
          <w:rFonts w:ascii="Times New Roman" w:hAnsi="Times New Roman" w:cs="Times New Roman"/>
          <w:i/>
          <w:lang w:val="en-GB"/>
        </w:rPr>
        <w:t>Köllensperger</w:t>
      </w:r>
      <w:proofErr w:type="spellEnd"/>
      <w:r w:rsidRPr="00A37F5E">
        <w:rPr>
          <w:rFonts w:ascii="Times New Roman" w:hAnsi="Times New Roman" w:cs="Times New Roman"/>
          <w:i/>
          <w:lang w:val="en-GB"/>
        </w:rPr>
        <w:t xml:space="preserve"> and </w:t>
      </w:r>
      <w:proofErr w:type="spellStart"/>
      <w:r w:rsidRPr="00A37F5E">
        <w:rPr>
          <w:rFonts w:ascii="Times New Roman" w:hAnsi="Times New Roman" w:cs="Times New Roman"/>
          <w:i/>
          <w:lang w:val="en-GB"/>
        </w:rPr>
        <w:t>Atzwanger</w:t>
      </w:r>
      <w:proofErr w:type="spellEnd"/>
      <w:r w:rsidRPr="00A37F5E">
        <w:rPr>
          <w:rFonts w:ascii="Times New Roman" w:hAnsi="Times New Roman" w:cs="Times New Roman"/>
          <w:lang w:val="en-GB"/>
        </w:rPr>
        <w:t xml:space="preserve">, EU:C:1999:52, para 18. See also Opinion of AG </w:t>
      </w:r>
      <w:proofErr w:type="spellStart"/>
      <w:r w:rsidRPr="00A37F5E">
        <w:rPr>
          <w:rFonts w:ascii="Times New Roman" w:hAnsi="Times New Roman" w:cs="Times New Roman"/>
          <w:lang w:val="en-GB"/>
        </w:rPr>
        <w:t>Kokott</w:t>
      </w:r>
      <w:proofErr w:type="spellEnd"/>
      <w:r w:rsidRPr="00A37F5E">
        <w:rPr>
          <w:rFonts w:ascii="Times New Roman" w:hAnsi="Times New Roman" w:cs="Times New Roman"/>
          <w:lang w:val="en-GB"/>
        </w:rPr>
        <w:t xml:space="preserve"> in Case C-127/13 P, </w:t>
      </w:r>
      <w:proofErr w:type="spellStart"/>
      <w:r w:rsidRPr="00A37F5E">
        <w:rPr>
          <w:rFonts w:ascii="Times New Roman" w:hAnsi="Times New Roman" w:cs="Times New Roman"/>
          <w:i/>
          <w:lang w:val="en-GB"/>
        </w:rPr>
        <w:t>Strack</w:t>
      </w:r>
      <w:proofErr w:type="spellEnd"/>
      <w:r w:rsidRPr="00A37F5E">
        <w:rPr>
          <w:rFonts w:ascii="Times New Roman" w:hAnsi="Times New Roman" w:cs="Times New Roman"/>
          <w:lang w:val="en-GB"/>
        </w:rPr>
        <w:t>, EU:C:2014:455, paras 79-93.</w:t>
      </w:r>
    </w:p>
  </w:footnote>
  <w:footnote w:id="40">
    <w:p w14:paraId="6759D9E5" w14:textId="5C8DE0D2" w:rsidR="00336E94" w:rsidRPr="00A37F5E" w:rsidRDefault="00336E94"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T-639/16 P, </w:t>
      </w:r>
      <w:r w:rsidRPr="00A37F5E">
        <w:rPr>
          <w:rFonts w:ascii="Times New Roman" w:hAnsi="Times New Roman" w:cs="Times New Roman"/>
          <w:i/>
          <w:lang w:val="fr-BE"/>
        </w:rPr>
        <w:t xml:space="preserve">FV </w:t>
      </w:r>
      <w:r w:rsidRPr="00A37F5E">
        <w:rPr>
          <w:rFonts w:ascii="Times New Roman" w:hAnsi="Times New Roman" w:cs="Times New Roman"/>
          <w:lang w:val="fr-BE"/>
        </w:rPr>
        <w:t>v.</w:t>
      </w:r>
      <w:r w:rsidRPr="00A37F5E">
        <w:rPr>
          <w:rFonts w:ascii="Times New Roman" w:hAnsi="Times New Roman" w:cs="Times New Roman"/>
          <w:i/>
          <w:lang w:val="fr-BE"/>
        </w:rPr>
        <w:t xml:space="preserve"> Council</w:t>
      </w:r>
      <w:r w:rsidRPr="00A37F5E">
        <w:rPr>
          <w:rFonts w:ascii="Times New Roman" w:hAnsi="Times New Roman" w:cs="Times New Roman"/>
          <w:lang w:val="fr-BE"/>
        </w:rPr>
        <w:t xml:space="preserve">, EU:T:2018:22, para 68; Case T-199/11 P, </w:t>
      </w:r>
      <w:proofErr w:type="spellStart"/>
      <w:r w:rsidRPr="00A37F5E">
        <w:rPr>
          <w:rFonts w:ascii="Times New Roman" w:hAnsi="Times New Roman" w:cs="Times New Roman"/>
          <w:i/>
          <w:lang w:val="fr-BE"/>
        </w:rPr>
        <w:t>Strack</w:t>
      </w:r>
      <w:proofErr w:type="spellEnd"/>
      <w:r w:rsidRPr="00A37F5E">
        <w:rPr>
          <w:rFonts w:ascii="Times New Roman" w:hAnsi="Times New Roman" w:cs="Times New Roman"/>
          <w:i/>
          <w:lang w:val="fr-BE"/>
        </w:rPr>
        <w:t xml:space="preserve"> </w:t>
      </w:r>
      <w:r w:rsidRPr="00A37F5E">
        <w:rPr>
          <w:rFonts w:ascii="Times New Roman" w:hAnsi="Times New Roman" w:cs="Times New Roman"/>
          <w:lang w:val="fr-BE"/>
        </w:rPr>
        <w:t xml:space="preserve">v. </w:t>
      </w:r>
      <w:r w:rsidRPr="00A37F5E">
        <w:rPr>
          <w:rFonts w:ascii="Times New Roman" w:hAnsi="Times New Roman" w:cs="Times New Roman"/>
          <w:i/>
          <w:lang w:val="fr-BE"/>
        </w:rPr>
        <w:t>Commission</w:t>
      </w:r>
      <w:r w:rsidRPr="00A37F5E">
        <w:rPr>
          <w:rFonts w:ascii="Times New Roman" w:hAnsi="Times New Roman" w:cs="Times New Roman"/>
          <w:lang w:val="fr-BE"/>
        </w:rPr>
        <w:t>, EU:T:2012</w:t>
      </w:r>
      <w:r w:rsidR="00B31E39" w:rsidRPr="00A37F5E">
        <w:rPr>
          <w:rFonts w:ascii="Times New Roman" w:hAnsi="Times New Roman" w:cs="Times New Roman"/>
          <w:lang w:val="fr-BE"/>
        </w:rPr>
        <w:t>:691</w:t>
      </w:r>
      <w:r w:rsidRPr="00A37F5E">
        <w:rPr>
          <w:rFonts w:ascii="Times New Roman" w:hAnsi="Times New Roman" w:cs="Times New Roman"/>
          <w:lang w:val="fr-BE"/>
        </w:rPr>
        <w:t>, para 22.</w:t>
      </w:r>
    </w:p>
  </w:footnote>
  <w:footnote w:id="41">
    <w:p w14:paraId="67A1B4B1" w14:textId="21596BA0"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By way of some recent examples: ECtHR, </w:t>
      </w:r>
      <w:r w:rsidRPr="00A37F5E">
        <w:rPr>
          <w:rFonts w:ascii="Times New Roman" w:hAnsi="Times New Roman" w:cs="Times New Roman"/>
          <w:i/>
          <w:lang w:val="en-GB"/>
        </w:rPr>
        <w:t xml:space="preserve">Ali </w:t>
      </w:r>
      <w:proofErr w:type="spellStart"/>
      <w:r w:rsidRPr="00A37F5E">
        <w:rPr>
          <w:rFonts w:ascii="Times New Roman" w:hAnsi="Times New Roman" w:cs="Times New Roman"/>
          <w:i/>
          <w:lang w:val="en-GB"/>
        </w:rPr>
        <w:t>Riza</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a.o.</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Turkey</w:t>
      </w:r>
      <w:r w:rsidRPr="00A37F5E">
        <w:rPr>
          <w:rFonts w:ascii="Times New Roman" w:hAnsi="Times New Roman" w:cs="Times New Roman"/>
          <w:lang w:val="en-GB"/>
        </w:rPr>
        <w:t xml:space="preserve">, Appl. Nos. 30226/10 and 5506/16, judgment of 28 January 2020, para 194; ECtHR, </w:t>
      </w:r>
      <w:proofErr w:type="spellStart"/>
      <w:r w:rsidRPr="00A37F5E">
        <w:rPr>
          <w:rFonts w:ascii="Times New Roman" w:hAnsi="Times New Roman" w:cs="Times New Roman"/>
          <w:i/>
          <w:lang w:val="en-GB"/>
        </w:rPr>
        <w:t>Pasquini</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San Marino</w:t>
      </w:r>
      <w:r w:rsidRPr="00A37F5E">
        <w:rPr>
          <w:rFonts w:ascii="Times New Roman" w:hAnsi="Times New Roman" w:cs="Times New Roman"/>
          <w:lang w:val="en-GB"/>
        </w:rPr>
        <w:t xml:space="preserve">, Appl. No. 50956/16, judgment of 2 May 2019, para 101; ECtHR, </w:t>
      </w:r>
      <w:proofErr w:type="spellStart"/>
      <w:r w:rsidRPr="00A37F5E">
        <w:rPr>
          <w:rFonts w:ascii="Times New Roman" w:hAnsi="Times New Roman" w:cs="Times New Roman"/>
          <w:i/>
          <w:lang w:val="en-GB"/>
        </w:rPr>
        <w:t>Mutu</w:t>
      </w:r>
      <w:proofErr w:type="spellEnd"/>
      <w:r w:rsidRPr="00A37F5E">
        <w:rPr>
          <w:rFonts w:ascii="Times New Roman" w:hAnsi="Times New Roman" w:cs="Times New Roman"/>
          <w:i/>
          <w:lang w:val="en-GB"/>
        </w:rPr>
        <w:t xml:space="preserve"> and </w:t>
      </w:r>
      <w:proofErr w:type="spellStart"/>
      <w:r w:rsidRPr="00A37F5E">
        <w:rPr>
          <w:rFonts w:ascii="Times New Roman" w:hAnsi="Times New Roman" w:cs="Times New Roman"/>
          <w:i/>
          <w:lang w:val="en-GB"/>
        </w:rPr>
        <w:t>Pechstein</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Switzerland</w:t>
      </w:r>
      <w:r w:rsidRPr="00A37F5E">
        <w:rPr>
          <w:rFonts w:ascii="Times New Roman" w:hAnsi="Times New Roman" w:cs="Times New Roman"/>
          <w:lang w:val="en-GB"/>
        </w:rPr>
        <w:t>, Appl. Nos. 40575/10 and 67474/10, judgment of 2 October 2018, para 138.</w:t>
      </w:r>
    </w:p>
  </w:footnote>
  <w:footnote w:id="42">
    <w:p w14:paraId="5CFBA44D" w14:textId="7FA08B70"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ECtHR, </w:t>
      </w:r>
      <w:r w:rsidRPr="00A37F5E">
        <w:rPr>
          <w:rFonts w:ascii="Times New Roman" w:hAnsi="Times New Roman" w:cs="Times New Roman"/>
          <w:i/>
          <w:lang w:val="en-GB"/>
        </w:rPr>
        <w:t>DMD Group, A.S.</w:t>
      </w:r>
      <w:r w:rsidRPr="00A37F5E">
        <w:rPr>
          <w:rFonts w:ascii="Times New Roman" w:hAnsi="Times New Roman" w:cs="Times New Roman"/>
          <w:lang w:val="en-GB"/>
        </w:rPr>
        <w:t xml:space="preserve"> v. </w:t>
      </w:r>
      <w:r w:rsidRPr="00A37F5E">
        <w:rPr>
          <w:rFonts w:ascii="Times New Roman" w:hAnsi="Times New Roman" w:cs="Times New Roman"/>
          <w:i/>
          <w:lang w:val="en-GB"/>
        </w:rPr>
        <w:t>Slovakia</w:t>
      </w:r>
      <w:r w:rsidRPr="00A37F5E">
        <w:rPr>
          <w:rFonts w:ascii="Times New Roman" w:hAnsi="Times New Roman" w:cs="Times New Roman"/>
          <w:lang w:val="en-GB"/>
        </w:rPr>
        <w:t xml:space="preserve">, Appl. No. 19334/03, judgment of 5 October 2010, para 59; ECtHR, </w:t>
      </w:r>
      <w:proofErr w:type="spellStart"/>
      <w:r w:rsidRPr="00A37F5E">
        <w:rPr>
          <w:rFonts w:ascii="Times New Roman" w:hAnsi="Times New Roman" w:cs="Times New Roman"/>
          <w:i/>
          <w:lang w:val="en-GB"/>
        </w:rPr>
        <w:t>Buscarini</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San Marino</w:t>
      </w:r>
      <w:r w:rsidRPr="00A37F5E">
        <w:rPr>
          <w:rFonts w:ascii="Times New Roman" w:hAnsi="Times New Roman" w:cs="Times New Roman"/>
          <w:lang w:val="en-GB"/>
        </w:rPr>
        <w:t>, Appl. No. 31657/96, decision of 4 May 2000.</w:t>
      </w:r>
    </w:p>
  </w:footnote>
  <w:footnote w:id="43">
    <w:p w14:paraId="7B9CDE96" w14:textId="6633FFDB"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ECtHR, </w:t>
      </w:r>
      <w:proofErr w:type="spellStart"/>
      <w:r w:rsidRPr="00A37F5E">
        <w:rPr>
          <w:rFonts w:ascii="Times New Roman" w:hAnsi="Times New Roman" w:cs="Times New Roman"/>
          <w:i/>
          <w:lang w:val="en-GB"/>
        </w:rPr>
        <w:t>Mutu</w:t>
      </w:r>
      <w:proofErr w:type="spellEnd"/>
      <w:r w:rsidRPr="00A37F5E">
        <w:rPr>
          <w:rFonts w:ascii="Times New Roman" w:hAnsi="Times New Roman" w:cs="Times New Roman"/>
          <w:i/>
          <w:lang w:val="en-GB"/>
        </w:rPr>
        <w:t xml:space="preserve"> and </w:t>
      </w:r>
      <w:proofErr w:type="spellStart"/>
      <w:r w:rsidRPr="00A37F5E">
        <w:rPr>
          <w:rFonts w:ascii="Times New Roman" w:hAnsi="Times New Roman" w:cs="Times New Roman"/>
          <w:i/>
          <w:lang w:val="en-GB"/>
        </w:rPr>
        <w:t>Pechstein</w:t>
      </w:r>
      <w:proofErr w:type="spellEnd"/>
      <w:r w:rsidRPr="00A37F5E">
        <w:rPr>
          <w:rFonts w:ascii="Times New Roman" w:hAnsi="Times New Roman" w:cs="Times New Roman"/>
          <w:lang w:val="en-GB"/>
        </w:rPr>
        <w:t xml:space="preserve">, para 138; ECtHR, </w:t>
      </w:r>
      <w:proofErr w:type="spellStart"/>
      <w:r w:rsidRPr="00A37F5E">
        <w:rPr>
          <w:rFonts w:ascii="Times New Roman" w:hAnsi="Times New Roman" w:cs="Times New Roman"/>
          <w:i/>
          <w:lang w:val="en-GB"/>
        </w:rPr>
        <w:t>Gorguiladze</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Georgia</w:t>
      </w:r>
      <w:r w:rsidRPr="00A37F5E">
        <w:rPr>
          <w:rFonts w:ascii="Times New Roman" w:hAnsi="Times New Roman" w:cs="Times New Roman"/>
          <w:lang w:val="en-GB"/>
        </w:rPr>
        <w:t>, Appl. No. 4313/04, judgment of 20 October 2009, para 68.</w:t>
      </w:r>
    </w:p>
  </w:footnote>
  <w:footnote w:id="44">
    <w:p w14:paraId="1A006E80" w14:textId="0C33D468"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This is one of relatively few areas in which the ECtHR requires parliamentary legislation. In other areas it applies a more flexible understanding of the </w:t>
      </w:r>
      <w:r w:rsidR="005160FD" w:rsidRPr="00A37F5E">
        <w:rPr>
          <w:rFonts w:ascii="Times New Roman" w:hAnsi="Times New Roman" w:cs="Times New Roman"/>
          <w:lang w:val="en-GB"/>
        </w:rPr>
        <w:t>notion of</w:t>
      </w:r>
      <w:r w:rsidRPr="00A37F5E">
        <w:rPr>
          <w:rFonts w:ascii="Times New Roman" w:hAnsi="Times New Roman" w:cs="Times New Roman"/>
          <w:lang w:val="en-GB"/>
        </w:rPr>
        <w:t xml:space="preserve"> law, covering, for instance, judge-made law. </w:t>
      </w:r>
      <w:proofErr w:type="spellStart"/>
      <w:r w:rsidRPr="00A37F5E">
        <w:rPr>
          <w:rFonts w:ascii="Times New Roman" w:hAnsi="Times New Roman" w:cs="Times New Roman"/>
          <w:lang w:val="fr-BE"/>
        </w:rPr>
        <w:t>See</w:t>
      </w:r>
      <w:proofErr w:type="spellEnd"/>
      <w:r w:rsidRPr="00A37F5E">
        <w:rPr>
          <w:rFonts w:ascii="Times New Roman" w:hAnsi="Times New Roman" w:cs="Times New Roman"/>
          <w:lang w:val="fr-BE"/>
        </w:rPr>
        <w:t xml:space="preserve"> on </w:t>
      </w:r>
      <w:proofErr w:type="spellStart"/>
      <w:r w:rsidRPr="00A37F5E">
        <w:rPr>
          <w:rFonts w:ascii="Times New Roman" w:hAnsi="Times New Roman" w:cs="Times New Roman"/>
          <w:lang w:val="fr-BE"/>
        </w:rPr>
        <w:t>this</w:t>
      </w:r>
      <w:proofErr w:type="spellEnd"/>
      <w:r w:rsidRPr="00A37F5E">
        <w:rPr>
          <w:rFonts w:ascii="Times New Roman" w:hAnsi="Times New Roman" w:cs="Times New Roman"/>
          <w:lang w:val="fr-BE"/>
        </w:rPr>
        <w:t xml:space="preserve">: Van </w:t>
      </w:r>
      <w:proofErr w:type="spellStart"/>
      <w:r w:rsidRPr="00A37F5E">
        <w:rPr>
          <w:rFonts w:ascii="Times New Roman" w:hAnsi="Times New Roman" w:cs="Times New Roman"/>
          <w:lang w:val="fr-BE"/>
        </w:rPr>
        <w:t>Drooghenbroeck</w:t>
      </w:r>
      <w:proofErr w:type="spellEnd"/>
      <w:r w:rsidRPr="00A37F5E">
        <w:rPr>
          <w:rFonts w:ascii="Times New Roman" w:hAnsi="Times New Roman" w:cs="Times New Roman"/>
          <w:lang w:val="fr-BE"/>
        </w:rPr>
        <w:t xml:space="preserve"> and Van </w:t>
      </w:r>
      <w:proofErr w:type="spellStart"/>
      <w:r w:rsidRPr="00A37F5E">
        <w:rPr>
          <w:rFonts w:ascii="Times New Roman" w:hAnsi="Times New Roman" w:cs="Times New Roman"/>
          <w:lang w:val="fr-BE"/>
        </w:rPr>
        <w:t>Drooghenbroeck</w:t>
      </w:r>
      <w:proofErr w:type="spellEnd"/>
      <w:r w:rsidRPr="00A37F5E">
        <w:rPr>
          <w:rFonts w:ascii="Times New Roman" w:hAnsi="Times New Roman" w:cs="Times New Roman"/>
          <w:lang w:val="fr-BE"/>
        </w:rPr>
        <w:t xml:space="preserve">, “Le Principe de Légalité en Matière Judiciaire” in </w:t>
      </w:r>
      <w:proofErr w:type="spellStart"/>
      <w:r w:rsidRPr="00A37F5E">
        <w:rPr>
          <w:rFonts w:ascii="Times New Roman" w:hAnsi="Times New Roman" w:cs="Times New Roman"/>
          <w:lang w:val="fr-BE"/>
        </w:rPr>
        <w:t>Detroux</w:t>
      </w:r>
      <w:proofErr w:type="spellEnd"/>
      <w:r w:rsidRPr="00A37F5E">
        <w:rPr>
          <w:rFonts w:ascii="Times New Roman" w:hAnsi="Times New Roman" w:cs="Times New Roman"/>
          <w:lang w:val="fr-BE"/>
        </w:rPr>
        <w:t xml:space="preserve">, El </w:t>
      </w:r>
      <w:proofErr w:type="spellStart"/>
      <w:r w:rsidRPr="00A37F5E">
        <w:rPr>
          <w:rFonts w:ascii="Times New Roman" w:hAnsi="Times New Roman" w:cs="Times New Roman"/>
          <w:lang w:val="fr-BE"/>
        </w:rPr>
        <w:t>Berhoumi</w:t>
      </w:r>
      <w:proofErr w:type="spellEnd"/>
      <w:r w:rsidRPr="00A37F5E">
        <w:rPr>
          <w:rFonts w:ascii="Times New Roman" w:hAnsi="Times New Roman" w:cs="Times New Roman"/>
          <w:lang w:val="fr-BE"/>
        </w:rPr>
        <w:t xml:space="preserve"> and </w:t>
      </w:r>
      <w:proofErr w:type="spellStart"/>
      <w:r w:rsidRPr="00A37F5E">
        <w:rPr>
          <w:rFonts w:ascii="Times New Roman" w:hAnsi="Times New Roman" w:cs="Times New Roman"/>
          <w:lang w:val="fr-BE"/>
        </w:rPr>
        <w:t>Lombaert</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eds</w:t>
      </w:r>
      <w:proofErr w:type="spellEnd"/>
      <w:r w:rsidRPr="00A37F5E">
        <w:rPr>
          <w:rFonts w:ascii="Times New Roman" w:hAnsi="Times New Roman" w:cs="Times New Roman"/>
          <w:lang w:val="fr-BE"/>
        </w:rPr>
        <w:t xml:space="preserve">.), </w:t>
      </w:r>
      <w:r w:rsidRPr="00A37F5E">
        <w:rPr>
          <w:rFonts w:ascii="Times New Roman" w:hAnsi="Times New Roman" w:cs="Times New Roman"/>
          <w:i/>
          <w:lang w:val="fr-BE"/>
        </w:rPr>
        <w:t>La Légalité: Un principe de la démocratie belge en péril?</w:t>
      </w:r>
      <w:r w:rsidRPr="00A37F5E">
        <w:rPr>
          <w:rFonts w:ascii="Times New Roman" w:hAnsi="Times New Roman" w:cs="Times New Roman"/>
          <w:lang w:val="fr-BE"/>
        </w:rPr>
        <w:t xml:space="preserve"> </w:t>
      </w:r>
      <w:r w:rsidRPr="00A37F5E">
        <w:rPr>
          <w:rFonts w:ascii="Times New Roman" w:hAnsi="Times New Roman" w:cs="Times New Roman"/>
          <w:lang w:val="en-GB"/>
        </w:rPr>
        <w:t>(</w:t>
      </w:r>
      <w:proofErr w:type="spellStart"/>
      <w:r w:rsidRPr="00A37F5E">
        <w:rPr>
          <w:rFonts w:ascii="Times New Roman" w:hAnsi="Times New Roman" w:cs="Times New Roman"/>
          <w:lang w:val="en-GB"/>
        </w:rPr>
        <w:t>Larcier</w:t>
      </w:r>
      <w:proofErr w:type="spellEnd"/>
      <w:r w:rsidRPr="00A37F5E">
        <w:rPr>
          <w:rFonts w:ascii="Times New Roman" w:hAnsi="Times New Roman" w:cs="Times New Roman"/>
          <w:lang w:val="en-GB"/>
        </w:rPr>
        <w:t>, 2019), pp.80-81.</w:t>
      </w:r>
    </w:p>
  </w:footnote>
  <w:footnote w:id="45">
    <w:p w14:paraId="19815F09" w14:textId="631867C5"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ECtHR, </w:t>
      </w:r>
      <w:proofErr w:type="spellStart"/>
      <w:r w:rsidRPr="00A37F5E">
        <w:rPr>
          <w:rFonts w:ascii="Times New Roman" w:hAnsi="Times New Roman" w:cs="Times New Roman"/>
          <w:i/>
          <w:lang w:val="en-GB"/>
        </w:rPr>
        <w:t>Chim</w:t>
      </w:r>
      <w:proofErr w:type="spellEnd"/>
      <w:r w:rsidRPr="00A37F5E">
        <w:rPr>
          <w:rFonts w:ascii="Times New Roman" w:hAnsi="Times New Roman" w:cs="Times New Roman"/>
          <w:i/>
          <w:lang w:val="en-GB"/>
        </w:rPr>
        <w:t xml:space="preserve"> and </w:t>
      </w:r>
      <w:proofErr w:type="spellStart"/>
      <w:r w:rsidRPr="00A37F5E">
        <w:rPr>
          <w:rFonts w:ascii="Times New Roman" w:hAnsi="Times New Roman" w:cs="Times New Roman"/>
          <w:i/>
          <w:lang w:val="en-GB"/>
        </w:rPr>
        <w:t>Przywieczersky</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Poland</w:t>
      </w:r>
      <w:r w:rsidRPr="00A37F5E">
        <w:rPr>
          <w:rFonts w:ascii="Times New Roman" w:hAnsi="Times New Roman" w:cs="Times New Roman"/>
          <w:lang w:val="en-GB"/>
        </w:rPr>
        <w:t xml:space="preserve">, Appl. Nos. 36661/07 and 38433/07, judgment of 12 April 2018, para 137; ECtHR, </w:t>
      </w:r>
      <w:r w:rsidRPr="00A37F5E">
        <w:rPr>
          <w:rFonts w:ascii="Times New Roman" w:hAnsi="Times New Roman" w:cs="Times New Roman"/>
          <w:i/>
          <w:lang w:val="en-GB"/>
        </w:rPr>
        <w:t xml:space="preserve">Miracle Europe KFT </w:t>
      </w:r>
      <w:r w:rsidRPr="00A37F5E">
        <w:rPr>
          <w:rFonts w:ascii="Times New Roman" w:hAnsi="Times New Roman" w:cs="Times New Roman"/>
          <w:lang w:val="en-GB"/>
        </w:rPr>
        <w:t xml:space="preserve">v. </w:t>
      </w:r>
      <w:r w:rsidRPr="00A37F5E">
        <w:rPr>
          <w:rFonts w:ascii="Times New Roman" w:hAnsi="Times New Roman" w:cs="Times New Roman"/>
          <w:i/>
          <w:lang w:val="en-GB"/>
        </w:rPr>
        <w:t>Hungary</w:t>
      </w:r>
      <w:r w:rsidRPr="00A37F5E">
        <w:rPr>
          <w:rFonts w:ascii="Times New Roman" w:hAnsi="Times New Roman" w:cs="Times New Roman"/>
          <w:lang w:val="en-GB"/>
        </w:rPr>
        <w:t>, Appl. No. 57774/13, judgment of 12 January 2016, para 51.</w:t>
      </w:r>
    </w:p>
  </w:footnote>
  <w:footnote w:id="46">
    <w:p w14:paraId="2708F5A5" w14:textId="64481CF2"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ECtHR, </w:t>
      </w:r>
      <w:r w:rsidRPr="00A37F5E">
        <w:rPr>
          <w:rFonts w:ascii="Times New Roman" w:hAnsi="Times New Roman" w:cs="Times New Roman"/>
          <w:i/>
          <w:lang w:val="en-GB"/>
        </w:rPr>
        <w:t xml:space="preserve">El </w:t>
      </w:r>
      <w:proofErr w:type="spellStart"/>
      <w:r w:rsidRPr="00A37F5E">
        <w:rPr>
          <w:rFonts w:ascii="Times New Roman" w:hAnsi="Times New Roman" w:cs="Times New Roman"/>
          <w:i/>
          <w:lang w:val="en-GB"/>
        </w:rPr>
        <w:t>Mottassadeq</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Germany</w:t>
      </w:r>
      <w:r w:rsidRPr="00A37F5E">
        <w:rPr>
          <w:rFonts w:ascii="Times New Roman" w:hAnsi="Times New Roman" w:cs="Times New Roman"/>
          <w:lang w:val="en-GB"/>
        </w:rPr>
        <w:t xml:space="preserve">, Appl. No. 28599/07, decision of 4 May 2010. </w:t>
      </w:r>
    </w:p>
  </w:footnote>
  <w:footnote w:id="47">
    <w:p w14:paraId="045E20C5" w14:textId="15239925"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Pr="00A37F5E">
        <w:rPr>
          <w:rFonts w:ascii="Times New Roman" w:hAnsi="Times New Roman" w:cs="Times New Roman"/>
          <w:lang w:val="en-GB"/>
        </w:rPr>
        <w:t>EComHR</w:t>
      </w:r>
      <w:proofErr w:type="spellEnd"/>
      <w:r w:rsidRPr="00A37F5E">
        <w:rPr>
          <w:rFonts w:ascii="Times New Roman" w:hAnsi="Times New Roman" w:cs="Times New Roman"/>
          <w:lang w:val="en-GB"/>
        </w:rPr>
        <w:t xml:space="preserve">, </w:t>
      </w:r>
      <w:proofErr w:type="spellStart"/>
      <w:r w:rsidRPr="00A37F5E">
        <w:rPr>
          <w:rFonts w:ascii="Times New Roman" w:hAnsi="Times New Roman" w:cs="Times New Roman"/>
          <w:i/>
          <w:lang w:val="en-GB"/>
        </w:rPr>
        <w:t>Zand</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v.</w:t>
      </w:r>
      <w:r w:rsidRPr="00A37F5E">
        <w:rPr>
          <w:rFonts w:ascii="Times New Roman" w:hAnsi="Times New Roman" w:cs="Times New Roman"/>
          <w:i/>
          <w:lang w:val="en-GB"/>
        </w:rPr>
        <w:t xml:space="preserve"> Austria</w:t>
      </w:r>
      <w:r w:rsidRPr="00A37F5E">
        <w:rPr>
          <w:rFonts w:ascii="Times New Roman" w:hAnsi="Times New Roman" w:cs="Times New Roman"/>
          <w:lang w:val="en-GB"/>
        </w:rPr>
        <w:t xml:space="preserve">, Appl. No. 7360/76, report of 12 October 1978, para 68. </w:t>
      </w:r>
    </w:p>
  </w:footnote>
  <w:footnote w:id="48">
    <w:p w14:paraId="372109E9" w14:textId="772FA211"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For example: ECtHR, </w:t>
      </w:r>
      <w:proofErr w:type="spellStart"/>
      <w:r w:rsidRPr="00A37F5E">
        <w:rPr>
          <w:rFonts w:ascii="Times New Roman" w:hAnsi="Times New Roman" w:cs="Times New Roman"/>
          <w:i/>
          <w:lang w:val="en-GB"/>
        </w:rPr>
        <w:t>Trepashkin</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v. </w:t>
      </w:r>
      <w:r w:rsidRPr="00A37F5E">
        <w:rPr>
          <w:rFonts w:ascii="Times New Roman" w:hAnsi="Times New Roman" w:cs="Times New Roman"/>
          <w:i/>
          <w:lang w:val="en-GB"/>
        </w:rPr>
        <w:t>Russia (No. 2)</w:t>
      </w:r>
      <w:r w:rsidRPr="00A37F5E">
        <w:rPr>
          <w:rFonts w:ascii="Times New Roman" w:hAnsi="Times New Roman" w:cs="Times New Roman"/>
          <w:lang w:val="en-GB"/>
        </w:rPr>
        <w:t xml:space="preserve">, Appl. No 14248/05, decision of 22 January 2009. Van </w:t>
      </w:r>
      <w:proofErr w:type="spellStart"/>
      <w:r w:rsidRPr="00A37F5E">
        <w:rPr>
          <w:rFonts w:ascii="Times New Roman" w:hAnsi="Times New Roman" w:cs="Times New Roman"/>
          <w:lang w:val="en-GB"/>
        </w:rPr>
        <w:t>Dijk</w:t>
      </w:r>
      <w:proofErr w:type="spellEnd"/>
      <w:r w:rsidRPr="00A37F5E">
        <w:rPr>
          <w:rFonts w:ascii="Times New Roman" w:hAnsi="Times New Roman" w:cs="Times New Roman"/>
          <w:lang w:val="en-GB"/>
        </w:rPr>
        <w:t xml:space="preserve"> argues that the national legislation should indicate the competence </w:t>
      </w:r>
      <w:proofErr w:type="spellStart"/>
      <w:r w:rsidRPr="00A37F5E">
        <w:rPr>
          <w:rFonts w:ascii="Times New Roman" w:hAnsi="Times New Roman" w:cs="Times New Roman"/>
          <w:i/>
          <w:lang w:val="en-GB"/>
        </w:rPr>
        <w:t>ratione</w:t>
      </w:r>
      <w:proofErr w:type="spellEnd"/>
      <w:r w:rsidRPr="00A37F5E">
        <w:rPr>
          <w:rFonts w:ascii="Times New Roman" w:hAnsi="Times New Roman" w:cs="Times New Roman"/>
          <w:i/>
          <w:lang w:val="en-GB"/>
        </w:rPr>
        <w:t xml:space="preserve"> personae</w:t>
      </w:r>
      <w:r w:rsidRPr="00A37F5E">
        <w:rPr>
          <w:rFonts w:ascii="Times New Roman" w:hAnsi="Times New Roman" w:cs="Times New Roman"/>
          <w:lang w:val="en-GB"/>
        </w:rPr>
        <w:t>,</w:t>
      </w:r>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ratione</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materiae</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and </w:t>
      </w:r>
      <w:proofErr w:type="spellStart"/>
      <w:r w:rsidRPr="00A37F5E">
        <w:rPr>
          <w:rFonts w:ascii="Times New Roman" w:hAnsi="Times New Roman" w:cs="Times New Roman"/>
          <w:i/>
          <w:lang w:val="en-GB"/>
        </w:rPr>
        <w:t>ratione</w:t>
      </w:r>
      <w:proofErr w:type="spellEnd"/>
      <w:r w:rsidRPr="00A37F5E">
        <w:rPr>
          <w:rFonts w:ascii="Times New Roman" w:hAnsi="Times New Roman" w:cs="Times New Roman"/>
          <w:i/>
          <w:lang w:val="en-GB"/>
        </w:rPr>
        <w:t xml:space="preserve"> loci </w:t>
      </w:r>
      <w:r w:rsidRPr="00A37F5E">
        <w:rPr>
          <w:rFonts w:ascii="Times New Roman" w:hAnsi="Times New Roman" w:cs="Times New Roman"/>
          <w:lang w:val="en-GB"/>
        </w:rPr>
        <w:t xml:space="preserve">in any concrete case. See: Van </w:t>
      </w:r>
      <w:proofErr w:type="spellStart"/>
      <w:r w:rsidRPr="00A37F5E">
        <w:rPr>
          <w:rFonts w:ascii="Times New Roman" w:hAnsi="Times New Roman" w:cs="Times New Roman"/>
          <w:lang w:val="en-GB"/>
        </w:rPr>
        <w:t>Dijk</w:t>
      </w:r>
      <w:proofErr w:type="spellEnd"/>
      <w:r w:rsidRPr="00A37F5E">
        <w:rPr>
          <w:rFonts w:ascii="Times New Roman" w:hAnsi="Times New Roman" w:cs="Times New Roman"/>
          <w:lang w:val="en-GB"/>
        </w:rPr>
        <w:t xml:space="preserve">, </w:t>
      </w:r>
      <w:r w:rsidRPr="00A37F5E">
        <w:rPr>
          <w:rFonts w:ascii="Times New Roman" w:hAnsi="Times New Roman" w:cs="Times New Roman"/>
          <w:i/>
          <w:lang w:val="en-GB"/>
        </w:rPr>
        <w:t xml:space="preserve">The Right of the Accused to a Fair Trial under International Law </w:t>
      </w:r>
      <w:r w:rsidRPr="00A37F5E">
        <w:rPr>
          <w:rFonts w:ascii="Times New Roman" w:hAnsi="Times New Roman" w:cs="Times New Roman"/>
          <w:lang w:val="en-GB"/>
        </w:rPr>
        <w:t>(SIM, 1983), p. 40.</w:t>
      </w:r>
    </w:p>
  </w:footnote>
  <w:footnote w:id="49">
    <w:p w14:paraId="070BBD6F" w14:textId="007A0A78"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 xml:space="preserve">para 57. </w:t>
      </w:r>
    </w:p>
  </w:footnote>
  <w:footnote w:id="50">
    <w:p w14:paraId="462F4409" w14:textId="7998F3A8" w:rsidR="00085855" w:rsidRPr="00A37F5E" w:rsidRDefault="00085855" w:rsidP="00A37F5E">
      <w:pPr>
        <w:pStyle w:val="Voetnoottekst"/>
        <w:tabs>
          <w:tab w:val="left" w:pos="1320"/>
        </w:tabs>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proofErr w:type="spellStart"/>
      <w:r w:rsidRPr="00A37F5E">
        <w:rPr>
          <w:rFonts w:ascii="Times New Roman" w:hAnsi="Times New Roman" w:cs="Times New Roman"/>
          <w:lang w:val="fr-BE"/>
        </w:rPr>
        <w:t>ECtHR</w:t>
      </w:r>
      <w:proofErr w:type="spellEnd"/>
      <w:r w:rsidRPr="00A37F5E">
        <w:rPr>
          <w:rFonts w:ascii="Times New Roman" w:hAnsi="Times New Roman" w:cs="Times New Roman"/>
          <w:lang w:val="fr-BE"/>
        </w:rPr>
        <w:t xml:space="preserve">, </w:t>
      </w:r>
      <w:proofErr w:type="spellStart"/>
      <w:r w:rsidRPr="00A37F5E">
        <w:rPr>
          <w:rFonts w:ascii="Times New Roman" w:hAnsi="Times New Roman" w:cs="Times New Roman"/>
          <w:i/>
          <w:lang w:val="fr-BE"/>
        </w:rPr>
        <w:t>Guðmundur</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Andri</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Ástráðsson</w:t>
      </w:r>
      <w:proofErr w:type="spellEnd"/>
      <w:r w:rsidRPr="00A37F5E">
        <w:rPr>
          <w:rFonts w:ascii="Times New Roman" w:hAnsi="Times New Roman" w:cs="Times New Roman"/>
          <w:lang w:val="fr-BE"/>
        </w:rPr>
        <w:t>, para 103.</w:t>
      </w:r>
    </w:p>
  </w:footnote>
  <w:footnote w:id="51">
    <w:p w14:paraId="493E8591" w14:textId="4DB7C732"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AB06BF" w:rsidRPr="00A37F5E">
        <w:rPr>
          <w:rFonts w:ascii="Times New Roman" w:hAnsi="Times New Roman" w:cs="Times New Roman"/>
          <w:lang w:val="en-GB"/>
        </w:rPr>
        <w:t xml:space="preserve">, </w:t>
      </w:r>
      <w:r w:rsidRPr="00A37F5E">
        <w:rPr>
          <w:rFonts w:ascii="Times New Roman" w:hAnsi="Times New Roman" w:cs="Times New Roman"/>
          <w:lang w:val="en-GB"/>
        </w:rPr>
        <w:t>para 75.</w:t>
      </w:r>
    </w:p>
  </w:footnote>
  <w:footnote w:id="52">
    <w:p w14:paraId="62A5251E" w14:textId="459DAAF9" w:rsidR="003608C8" w:rsidRPr="00A37F5E" w:rsidRDefault="003608C8"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For other examples</w:t>
      </w:r>
      <w:r w:rsidR="00B47E29" w:rsidRPr="00A37F5E">
        <w:rPr>
          <w:rFonts w:ascii="Times New Roman" w:hAnsi="Times New Roman" w:cs="Times New Roman"/>
          <w:lang w:val="en-GB"/>
        </w:rPr>
        <w:t xml:space="preserve"> by the ECJ concerning the balance of power on the level of the Union:</w:t>
      </w:r>
      <w:r w:rsidR="00234CAE" w:rsidRPr="00A37F5E">
        <w:rPr>
          <w:rFonts w:ascii="Times New Roman" w:hAnsi="Times New Roman" w:cs="Times New Roman"/>
          <w:lang w:val="en-GB"/>
        </w:rPr>
        <w:t xml:space="preserve"> Case C-72/15, </w:t>
      </w:r>
      <w:proofErr w:type="spellStart"/>
      <w:r w:rsidR="00234CAE" w:rsidRPr="00A37F5E">
        <w:rPr>
          <w:rFonts w:ascii="Times New Roman" w:hAnsi="Times New Roman" w:cs="Times New Roman"/>
          <w:i/>
          <w:lang w:val="en-GB"/>
        </w:rPr>
        <w:t>Rosneft</w:t>
      </w:r>
      <w:proofErr w:type="spellEnd"/>
      <w:r w:rsidR="00234CAE" w:rsidRPr="00A37F5E">
        <w:rPr>
          <w:rFonts w:ascii="Times New Roman" w:hAnsi="Times New Roman" w:cs="Times New Roman"/>
          <w:lang w:val="en-GB"/>
        </w:rPr>
        <w:t>, EU:C:2017:236;</w:t>
      </w:r>
      <w:r w:rsidRPr="00A37F5E">
        <w:rPr>
          <w:rFonts w:ascii="Times New Roman" w:hAnsi="Times New Roman" w:cs="Times New Roman"/>
          <w:lang w:val="en-GB"/>
        </w:rPr>
        <w:t xml:space="preserve"> </w:t>
      </w:r>
      <w:r w:rsidR="00234CAE" w:rsidRPr="00A37F5E">
        <w:rPr>
          <w:rFonts w:ascii="Times New Roman" w:hAnsi="Times New Roman" w:cs="Times New Roman"/>
          <w:lang w:val="en-GB"/>
        </w:rPr>
        <w:t xml:space="preserve">Case C-409/13, </w:t>
      </w:r>
      <w:r w:rsidR="00234CAE" w:rsidRPr="00A37F5E">
        <w:rPr>
          <w:rFonts w:ascii="Times New Roman" w:hAnsi="Times New Roman" w:cs="Times New Roman"/>
          <w:i/>
          <w:lang w:val="en-GB"/>
        </w:rPr>
        <w:t xml:space="preserve">Council </w:t>
      </w:r>
      <w:r w:rsidR="00234CAE" w:rsidRPr="00A37F5E">
        <w:rPr>
          <w:rFonts w:ascii="Times New Roman" w:hAnsi="Times New Roman" w:cs="Times New Roman"/>
          <w:lang w:val="en-GB"/>
        </w:rPr>
        <w:t xml:space="preserve">v. </w:t>
      </w:r>
      <w:r w:rsidR="00234CAE" w:rsidRPr="00A37F5E">
        <w:rPr>
          <w:rFonts w:ascii="Times New Roman" w:hAnsi="Times New Roman" w:cs="Times New Roman"/>
          <w:i/>
          <w:lang w:val="en-GB"/>
        </w:rPr>
        <w:t>Commission</w:t>
      </w:r>
      <w:r w:rsidR="00234CAE" w:rsidRPr="00A37F5E">
        <w:rPr>
          <w:rFonts w:ascii="Times New Roman" w:hAnsi="Times New Roman" w:cs="Times New Roman"/>
          <w:lang w:val="en-GB"/>
        </w:rPr>
        <w:t xml:space="preserve">, EU:C:2015:217. On the level of </w:t>
      </w:r>
      <w:r w:rsidR="00B47E29" w:rsidRPr="00A37F5E">
        <w:rPr>
          <w:rFonts w:ascii="Times New Roman" w:hAnsi="Times New Roman" w:cs="Times New Roman"/>
          <w:lang w:val="en-GB"/>
        </w:rPr>
        <w:t xml:space="preserve">the </w:t>
      </w:r>
      <w:r w:rsidR="00234CAE" w:rsidRPr="00A37F5E">
        <w:rPr>
          <w:rFonts w:ascii="Times New Roman" w:hAnsi="Times New Roman" w:cs="Times New Roman"/>
          <w:lang w:val="en-GB"/>
        </w:rPr>
        <w:t xml:space="preserve">EU Member States: Joined Cases C-585/18, C-524/18 and C-525/18, </w:t>
      </w:r>
      <w:r w:rsidR="00234CAE" w:rsidRPr="00A37F5E">
        <w:rPr>
          <w:rFonts w:ascii="Times New Roman" w:hAnsi="Times New Roman" w:cs="Times New Roman"/>
          <w:i/>
          <w:lang w:val="en-GB"/>
        </w:rPr>
        <w:t>A. K., CP and DO</w:t>
      </w:r>
      <w:r w:rsidR="00234CAE" w:rsidRPr="00A37F5E">
        <w:rPr>
          <w:rFonts w:ascii="Times New Roman" w:hAnsi="Times New Roman" w:cs="Times New Roman"/>
          <w:lang w:val="en-GB"/>
        </w:rPr>
        <w:t xml:space="preserve">; Case C-619/18, </w:t>
      </w:r>
      <w:r w:rsidR="00234CAE" w:rsidRPr="00A37F5E">
        <w:rPr>
          <w:rFonts w:ascii="Times New Roman" w:hAnsi="Times New Roman" w:cs="Times New Roman"/>
          <w:i/>
          <w:lang w:val="en-GB"/>
        </w:rPr>
        <w:t xml:space="preserve">Commission </w:t>
      </w:r>
      <w:r w:rsidR="00234CAE" w:rsidRPr="00A37F5E">
        <w:rPr>
          <w:rFonts w:ascii="Times New Roman" w:hAnsi="Times New Roman" w:cs="Times New Roman"/>
          <w:lang w:val="en-GB"/>
        </w:rPr>
        <w:t xml:space="preserve">v. </w:t>
      </w:r>
      <w:r w:rsidR="00234CAE" w:rsidRPr="00A37F5E">
        <w:rPr>
          <w:rFonts w:ascii="Times New Roman" w:hAnsi="Times New Roman" w:cs="Times New Roman"/>
          <w:i/>
          <w:lang w:val="en-GB"/>
        </w:rPr>
        <w:t>Poland (</w:t>
      </w:r>
      <w:proofErr w:type="spellStart"/>
      <w:r w:rsidR="00234CAE" w:rsidRPr="00A37F5E">
        <w:rPr>
          <w:rFonts w:ascii="Times New Roman" w:hAnsi="Times New Roman" w:cs="Times New Roman"/>
          <w:i/>
          <w:lang w:val="en-GB"/>
        </w:rPr>
        <w:t>Indépendance</w:t>
      </w:r>
      <w:proofErr w:type="spellEnd"/>
      <w:r w:rsidR="00234CAE" w:rsidRPr="00A37F5E">
        <w:rPr>
          <w:rFonts w:ascii="Times New Roman" w:hAnsi="Times New Roman" w:cs="Times New Roman"/>
          <w:i/>
          <w:lang w:val="en-GB"/>
        </w:rPr>
        <w:t xml:space="preserve"> de la </w:t>
      </w:r>
      <w:proofErr w:type="spellStart"/>
      <w:r w:rsidR="00234CAE" w:rsidRPr="00A37F5E">
        <w:rPr>
          <w:rFonts w:ascii="Times New Roman" w:hAnsi="Times New Roman" w:cs="Times New Roman"/>
          <w:i/>
          <w:lang w:val="en-GB"/>
        </w:rPr>
        <w:t>Cour</w:t>
      </w:r>
      <w:proofErr w:type="spellEnd"/>
      <w:r w:rsidR="00234CAE" w:rsidRPr="00A37F5E">
        <w:rPr>
          <w:rFonts w:ascii="Times New Roman" w:hAnsi="Times New Roman" w:cs="Times New Roman"/>
          <w:i/>
          <w:lang w:val="en-GB"/>
        </w:rPr>
        <w:t xml:space="preserve"> </w:t>
      </w:r>
      <w:proofErr w:type="spellStart"/>
      <w:r w:rsidR="00234CAE" w:rsidRPr="00A37F5E">
        <w:rPr>
          <w:rFonts w:ascii="Times New Roman" w:hAnsi="Times New Roman" w:cs="Times New Roman"/>
          <w:i/>
          <w:lang w:val="en-GB"/>
        </w:rPr>
        <w:t>suprême</w:t>
      </w:r>
      <w:proofErr w:type="spellEnd"/>
      <w:r w:rsidR="00234CAE" w:rsidRPr="00A37F5E">
        <w:rPr>
          <w:rFonts w:ascii="Times New Roman" w:hAnsi="Times New Roman" w:cs="Times New Roman"/>
          <w:i/>
          <w:lang w:val="en-GB"/>
        </w:rPr>
        <w:t>)</w:t>
      </w:r>
      <w:r w:rsidR="00234CAE" w:rsidRPr="00A37F5E">
        <w:rPr>
          <w:rFonts w:ascii="Times New Roman" w:hAnsi="Times New Roman" w:cs="Times New Roman"/>
          <w:lang w:val="en-GB"/>
        </w:rPr>
        <w:t>, EU:C:2019:531.</w:t>
      </w:r>
    </w:p>
  </w:footnote>
  <w:footnote w:id="53">
    <w:p w14:paraId="114103FF" w14:textId="1847246E"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Opinion of AG Sharpston in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 xml:space="preserve">v. </w:t>
      </w:r>
      <w:r w:rsidRPr="00A37F5E">
        <w:rPr>
          <w:rFonts w:ascii="Times New Roman" w:hAnsi="Times New Roman" w:cs="Times New Roman"/>
          <w:i/>
          <w:lang w:val="en-GB"/>
        </w:rPr>
        <w:t xml:space="preserve">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w:t>
      </w:r>
      <w:r w:rsidRPr="00A37F5E">
        <w:rPr>
          <w:rFonts w:ascii="Times New Roman" w:hAnsi="Times New Roman" w:cs="Times New Roman"/>
          <w:lang w:val="en-GB"/>
        </w:rPr>
        <w:t xml:space="preserve"> v. </w:t>
      </w:r>
      <w:r w:rsidRPr="00A37F5E">
        <w:rPr>
          <w:rFonts w:ascii="Times New Roman" w:hAnsi="Times New Roman" w:cs="Times New Roman"/>
          <w:i/>
          <w:lang w:val="en-GB"/>
        </w:rPr>
        <w:t>Commission</w:t>
      </w:r>
      <w:r w:rsidRPr="00A37F5E">
        <w:rPr>
          <w:rFonts w:ascii="Times New Roman" w:hAnsi="Times New Roman" w:cs="Times New Roman"/>
          <w:lang w:val="en-GB"/>
        </w:rPr>
        <w:t>, paras 57</w:t>
      </w:r>
      <w:r w:rsidR="00B842B2" w:rsidRPr="00A37F5E">
        <w:rPr>
          <w:rFonts w:ascii="Times New Roman" w:hAnsi="Times New Roman" w:cs="Times New Roman"/>
          <w:lang w:val="en-GB"/>
        </w:rPr>
        <w:t>, 111</w:t>
      </w:r>
      <w:r w:rsidRPr="00A37F5E">
        <w:rPr>
          <w:rFonts w:ascii="Times New Roman" w:hAnsi="Times New Roman" w:cs="Times New Roman"/>
          <w:lang w:val="en-GB"/>
        </w:rPr>
        <w:t xml:space="preserve"> and 141. </w:t>
      </w:r>
    </w:p>
  </w:footnote>
  <w:footnote w:id="54">
    <w:p w14:paraId="38655A40" w14:textId="1E619C0A"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Pr="00A37F5E">
        <w:rPr>
          <w:rFonts w:ascii="Times New Roman" w:hAnsi="Times New Roman" w:cs="Times New Roman"/>
          <w:lang w:val="en-GB"/>
        </w:rPr>
        <w:t>, paras 75 and 79.</w:t>
      </w:r>
    </w:p>
  </w:footnote>
  <w:footnote w:id="55">
    <w:p w14:paraId="71AFAFA4" w14:textId="4D89EABB"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C-585/18, C-524/18 and C-525/18, </w:t>
      </w:r>
      <w:r w:rsidRPr="00A37F5E">
        <w:rPr>
          <w:rFonts w:ascii="Times New Roman" w:hAnsi="Times New Roman" w:cs="Times New Roman"/>
          <w:i/>
          <w:lang w:val="en-GB"/>
        </w:rPr>
        <w:t>A. K., CP and DO</w:t>
      </w:r>
      <w:r w:rsidRPr="00A37F5E">
        <w:rPr>
          <w:rFonts w:ascii="Times New Roman" w:hAnsi="Times New Roman" w:cs="Times New Roman"/>
          <w:lang w:val="en-GB"/>
        </w:rPr>
        <w:t>, para 153.</w:t>
      </w:r>
    </w:p>
  </w:footnote>
  <w:footnote w:id="56">
    <w:p w14:paraId="4006C6B1" w14:textId="61B27FA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for a similar point of concern regarding the judgment in </w:t>
      </w:r>
      <w:r w:rsidRPr="00A37F5E">
        <w:rPr>
          <w:rFonts w:ascii="Times New Roman" w:hAnsi="Times New Roman" w:cs="Times New Roman"/>
          <w:i/>
          <w:lang w:val="en-GB"/>
        </w:rPr>
        <w:t>A. K., CP and DO</w:t>
      </w:r>
      <w:r w:rsidRPr="00A37F5E">
        <w:rPr>
          <w:rFonts w:ascii="Times New Roman" w:hAnsi="Times New Roman" w:cs="Times New Roman"/>
          <w:lang w:val="en-GB"/>
        </w:rPr>
        <w:t xml:space="preserve">: Leloup, “An Uncertain First Step in the Field of Judicial Self-government: ECJ 19 November 2019, Joined Cases C-585/18, C-624/18 and C-625/18, </w:t>
      </w:r>
      <w:r w:rsidRPr="00B34D30">
        <w:rPr>
          <w:rFonts w:ascii="Times New Roman" w:hAnsi="Times New Roman" w:cs="Times New Roman"/>
          <w:i/>
          <w:lang w:val="en-GB"/>
        </w:rPr>
        <w:t>A.</w:t>
      </w:r>
      <w:r w:rsidR="00AB06BF" w:rsidRPr="00B34D30">
        <w:rPr>
          <w:rFonts w:ascii="Times New Roman" w:hAnsi="Times New Roman" w:cs="Times New Roman"/>
          <w:i/>
          <w:lang w:val="en-GB"/>
        </w:rPr>
        <w:t xml:space="preserve"> </w:t>
      </w:r>
      <w:r w:rsidRPr="00B34D30">
        <w:rPr>
          <w:rFonts w:ascii="Times New Roman" w:hAnsi="Times New Roman" w:cs="Times New Roman"/>
          <w:i/>
          <w:lang w:val="en-GB"/>
        </w:rPr>
        <w:t>K</w:t>
      </w:r>
      <w:r w:rsidR="005B04C2" w:rsidRPr="00B34D30">
        <w:rPr>
          <w:rFonts w:ascii="Times New Roman" w:hAnsi="Times New Roman" w:cs="Times New Roman"/>
          <w:i/>
          <w:lang w:val="en-GB"/>
        </w:rPr>
        <w:t>., CP and DO</w:t>
      </w:r>
      <w:r w:rsidR="005B04C2" w:rsidRPr="00A37F5E">
        <w:rPr>
          <w:rFonts w:ascii="Times New Roman" w:hAnsi="Times New Roman" w:cs="Times New Roman"/>
          <w:lang w:val="en-GB"/>
        </w:rPr>
        <w:t xml:space="preserve">”, 16 </w:t>
      </w:r>
      <w:proofErr w:type="spellStart"/>
      <w:r w:rsidR="005B04C2" w:rsidRPr="00A37F5E">
        <w:rPr>
          <w:rFonts w:ascii="Times New Roman" w:hAnsi="Times New Roman" w:cs="Times New Roman"/>
          <w:lang w:val="en-GB"/>
        </w:rPr>
        <w:t>EuConst</w:t>
      </w:r>
      <w:proofErr w:type="spellEnd"/>
      <w:r w:rsidR="005B04C2" w:rsidRPr="00A37F5E">
        <w:rPr>
          <w:rFonts w:ascii="Times New Roman" w:hAnsi="Times New Roman" w:cs="Times New Roman"/>
          <w:lang w:val="en-GB"/>
        </w:rPr>
        <w:t xml:space="preserve"> 2020, pp. 1-25, at pp. 13-14.</w:t>
      </w:r>
    </w:p>
  </w:footnote>
  <w:footnote w:id="57">
    <w:p w14:paraId="37B4834A" w14:textId="70FF33DC"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for example: Case C-385/07 P, </w:t>
      </w:r>
      <w:r w:rsidRPr="00A37F5E">
        <w:rPr>
          <w:rFonts w:ascii="Times New Roman" w:hAnsi="Times New Roman" w:cs="Times New Roman"/>
          <w:i/>
          <w:lang w:val="en-GB"/>
        </w:rPr>
        <w:t xml:space="preserve">Der </w:t>
      </w:r>
      <w:proofErr w:type="spellStart"/>
      <w:r w:rsidRPr="00A37F5E">
        <w:rPr>
          <w:rFonts w:ascii="Times New Roman" w:hAnsi="Times New Roman" w:cs="Times New Roman"/>
          <w:i/>
          <w:lang w:val="en-GB"/>
        </w:rPr>
        <w:t>Grüne</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Punkt</w:t>
      </w:r>
      <w:proofErr w:type="spellEnd"/>
      <w:r w:rsidRPr="00A37F5E">
        <w:rPr>
          <w:rFonts w:ascii="Times New Roman" w:hAnsi="Times New Roman" w:cs="Times New Roman"/>
          <w:i/>
          <w:lang w:val="en-GB"/>
        </w:rPr>
        <w:t xml:space="preserve"> – </w:t>
      </w:r>
      <w:proofErr w:type="spellStart"/>
      <w:r w:rsidRPr="00A37F5E">
        <w:rPr>
          <w:rFonts w:ascii="Times New Roman" w:hAnsi="Times New Roman" w:cs="Times New Roman"/>
          <w:i/>
          <w:lang w:val="en-GB"/>
        </w:rPr>
        <w:t>Duales</w:t>
      </w:r>
      <w:proofErr w:type="spellEnd"/>
      <w:r w:rsidRPr="00A37F5E">
        <w:rPr>
          <w:rFonts w:ascii="Times New Roman" w:hAnsi="Times New Roman" w:cs="Times New Roman"/>
          <w:i/>
          <w:lang w:val="en-GB"/>
        </w:rPr>
        <w:t xml:space="preserve"> System Deutschland GmbH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Pr="00A37F5E">
        <w:rPr>
          <w:rFonts w:ascii="Times New Roman" w:hAnsi="Times New Roman" w:cs="Times New Roman"/>
          <w:lang w:val="en-GB"/>
        </w:rPr>
        <w:t>, EU:C:2009:456, para 178.</w:t>
      </w:r>
    </w:p>
  </w:footnote>
  <w:footnote w:id="58">
    <w:p w14:paraId="330855DE" w14:textId="0781DA94" w:rsidR="00623E9E" w:rsidRPr="00A37F5E" w:rsidRDefault="00623E9E"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C27E6F">
        <w:rPr>
          <w:rFonts w:ascii="Times New Roman" w:hAnsi="Times New Roman" w:cs="Times New Roman"/>
          <w:lang w:val="en-GB"/>
        </w:rPr>
        <w:t xml:space="preserve">In such sense: </w:t>
      </w:r>
      <w:r w:rsidR="003217E2">
        <w:rPr>
          <w:rFonts w:ascii="Times New Roman" w:hAnsi="Times New Roman" w:cs="Times New Roman"/>
          <w:lang w:val="en-GB"/>
        </w:rPr>
        <w:t xml:space="preserve">Case C-457/09, </w:t>
      </w:r>
      <w:proofErr w:type="spellStart"/>
      <w:r w:rsidR="003217E2">
        <w:rPr>
          <w:rFonts w:ascii="Times New Roman" w:hAnsi="Times New Roman" w:cs="Times New Roman"/>
          <w:i/>
          <w:lang w:val="en-GB"/>
        </w:rPr>
        <w:t>Chartry</w:t>
      </w:r>
      <w:proofErr w:type="spellEnd"/>
      <w:r w:rsidR="003217E2">
        <w:rPr>
          <w:rFonts w:ascii="Times New Roman" w:hAnsi="Times New Roman" w:cs="Times New Roman"/>
          <w:lang w:val="en-GB"/>
        </w:rPr>
        <w:t>, EU:C:2011:101, para 25.</w:t>
      </w:r>
    </w:p>
  </w:footnote>
  <w:footnote w:id="59">
    <w:p w14:paraId="5AE3E792" w14:textId="7596CD0F"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00623E9E" w:rsidRPr="00A37F5E">
        <w:rPr>
          <w:rFonts w:ascii="Times New Roman" w:hAnsi="Times New Roman" w:cs="Times New Roman"/>
          <w:lang w:val="en-GB"/>
        </w:rPr>
        <w:t>Krenc</w:t>
      </w:r>
      <w:proofErr w:type="spellEnd"/>
      <w:r w:rsidR="00623E9E" w:rsidRPr="00A37F5E">
        <w:rPr>
          <w:rFonts w:ascii="Times New Roman" w:hAnsi="Times New Roman" w:cs="Times New Roman"/>
          <w:lang w:val="en-GB"/>
        </w:rPr>
        <w:t xml:space="preserve">, “Article 47 – Droit à un </w:t>
      </w:r>
      <w:proofErr w:type="spellStart"/>
      <w:r w:rsidR="00623E9E" w:rsidRPr="00A37F5E">
        <w:rPr>
          <w:rFonts w:ascii="Times New Roman" w:hAnsi="Times New Roman" w:cs="Times New Roman"/>
          <w:lang w:val="en-GB"/>
        </w:rPr>
        <w:t>recours</w:t>
      </w:r>
      <w:proofErr w:type="spellEnd"/>
      <w:r w:rsidR="00623E9E" w:rsidRPr="00A37F5E">
        <w:rPr>
          <w:rFonts w:ascii="Times New Roman" w:hAnsi="Times New Roman" w:cs="Times New Roman"/>
          <w:lang w:val="en-GB"/>
        </w:rPr>
        <w:t xml:space="preserve"> </w:t>
      </w:r>
      <w:proofErr w:type="spellStart"/>
      <w:r w:rsidR="00623E9E" w:rsidRPr="00A37F5E">
        <w:rPr>
          <w:rFonts w:ascii="Times New Roman" w:hAnsi="Times New Roman" w:cs="Times New Roman"/>
          <w:lang w:val="en-GB"/>
        </w:rPr>
        <w:t>effectif</w:t>
      </w:r>
      <w:proofErr w:type="spellEnd"/>
      <w:r w:rsidR="00623E9E" w:rsidRPr="00A37F5E">
        <w:rPr>
          <w:rFonts w:ascii="Times New Roman" w:hAnsi="Times New Roman" w:cs="Times New Roman"/>
          <w:lang w:val="en-GB"/>
        </w:rPr>
        <w:t xml:space="preserve"> et à </w:t>
      </w:r>
      <w:proofErr w:type="spellStart"/>
      <w:r w:rsidR="00623E9E" w:rsidRPr="00A37F5E">
        <w:rPr>
          <w:rFonts w:ascii="Times New Roman" w:hAnsi="Times New Roman" w:cs="Times New Roman"/>
          <w:lang w:val="en-GB"/>
        </w:rPr>
        <w:t>accéder</w:t>
      </w:r>
      <w:proofErr w:type="spellEnd"/>
      <w:r w:rsidR="00623E9E" w:rsidRPr="00A37F5E">
        <w:rPr>
          <w:rFonts w:ascii="Times New Roman" w:hAnsi="Times New Roman" w:cs="Times New Roman"/>
          <w:lang w:val="en-GB"/>
        </w:rPr>
        <w:t xml:space="preserve"> à un tribunal impartial” in </w:t>
      </w:r>
      <w:proofErr w:type="spellStart"/>
      <w:r w:rsidR="00623E9E" w:rsidRPr="00A37F5E">
        <w:rPr>
          <w:rFonts w:ascii="Times New Roman" w:hAnsi="Times New Roman" w:cs="Times New Roman"/>
          <w:lang w:val="en-GB"/>
        </w:rPr>
        <w:t>Picod</w:t>
      </w:r>
      <w:proofErr w:type="spellEnd"/>
      <w:r w:rsidR="00623E9E" w:rsidRPr="00A37F5E">
        <w:rPr>
          <w:rFonts w:ascii="Times New Roman" w:hAnsi="Times New Roman" w:cs="Times New Roman"/>
          <w:lang w:val="en-GB"/>
        </w:rPr>
        <w:t xml:space="preserve">, </w:t>
      </w:r>
      <w:proofErr w:type="spellStart"/>
      <w:r w:rsidR="00623E9E" w:rsidRPr="00A37F5E">
        <w:rPr>
          <w:rFonts w:ascii="Times New Roman" w:hAnsi="Times New Roman" w:cs="Times New Roman"/>
          <w:lang w:val="en-GB"/>
        </w:rPr>
        <w:t>Rizcallah</w:t>
      </w:r>
      <w:proofErr w:type="spellEnd"/>
      <w:r w:rsidR="00623E9E" w:rsidRPr="00A37F5E">
        <w:rPr>
          <w:rFonts w:ascii="Times New Roman" w:hAnsi="Times New Roman" w:cs="Times New Roman"/>
          <w:lang w:val="en-GB"/>
        </w:rPr>
        <w:t xml:space="preserve"> and Van </w:t>
      </w:r>
      <w:proofErr w:type="spellStart"/>
      <w:r w:rsidR="00623E9E" w:rsidRPr="00A37F5E">
        <w:rPr>
          <w:rFonts w:ascii="Times New Roman" w:hAnsi="Times New Roman" w:cs="Times New Roman"/>
          <w:lang w:val="en-GB"/>
        </w:rPr>
        <w:t>Drooghenbroeck</w:t>
      </w:r>
      <w:proofErr w:type="spellEnd"/>
      <w:r w:rsidR="00623E9E" w:rsidRPr="00A37F5E">
        <w:rPr>
          <w:rFonts w:ascii="Times New Roman" w:hAnsi="Times New Roman" w:cs="Times New Roman"/>
          <w:lang w:val="en-GB"/>
        </w:rPr>
        <w:t xml:space="preserve"> (eds.), </w:t>
      </w:r>
      <w:proofErr w:type="spellStart"/>
      <w:r w:rsidR="00623E9E" w:rsidRPr="00A37F5E">
        <w:rPr>
          <w:rFonts w:ascii="Times New Roman" w:hAnsi="Times New Roman" w:cs="Times New Roman"/>
          <w:i/>
          <w:lang w:val="en-GB"/>
        </w:rPr>
        <w:t>Charte</w:t>
      </w:r>
      <w:proofErr w:type="spellEnd"/>
      <w:r w:rsidR="00623E9E" w:rsidRPr="00A37F5E">
        <w:rPr>
          <w:rFonts w:ascii="Times New Roman" w:hAnsi="Times New Roman" w:cs="Times New Roman"/>
          <w:i/>
          <w:lang w:val="en-GB"/>
        </w:rPr>
        <w:t xml:space="preserve"> des droits </w:t>
      </w:r>
      <w:proofErr w:type="spellStart"/>
      <w:r w:rsidR="00623E9E" w:rsidRPr="00A37F5E">
        <w:rPr>
          <w:rFonts w:ascii="Times New Roman" w:hAnsi="Times New Roman" w:cs="Times New Roman"/>
          <w:i/>
          <w:lang w:val="en-GB"/>
        </w:rPr>
        <w:t>fondamentaux</w:t>
      </w:r>
      <w:proofErr w:type="spellEnd"/>
      <w:r w:rsidR="00623E9E" w:rsidRPr="00A37F5E">
        <w:rPr>
          <w:rFonts w:ascii="Times New Roman" w:hAnsi="Times New Roman" w:cs="Times New Roman"/>
          <w:i/>
          <w:lang w:val="en-GB"/>
        </w:rPr>
        <w:t xml:space="preserve"> de </w:t>
      </w:r>
      <w:proofErr w:type="spellStart"/>
      <w:r w:rsidR="00623E9E" w:rsidRPr="00A37F5E">
        <w:rPr>
          <w:rFonts w:ascii="Times New Roman" w:hAnsi="Times New Roman" w:cs="Times New Roman"/>
          <w:i/>
          <w:lang w:val="en-GB"/>
        </w:rPr>
        <w:t>l’Union</w:t>
      </w:r>
      <w:proofErr w:type="spellEnd"/>
      <w:r w:rsidR="00623E9E" w:rsidRPr="00A37F5E">
        <w:rPr>
          <w:rFonts w:ascii="Times New Roman" w:hAnsi="Times New Roman" w:cs="Times New Roman"/>
          <w:i/>
          <w:lang w:val="en-GB"/>
        </w:rPr>
        <w:t xml:space="preserve"> </w:t>
      </w:r>
      <w:proofErr w:type="spellStart"/>
      <w:r w:rsidR="00623E9E" w:rsidRPr="00A37F5E">
        <w:rPr>
          <w:rFonts w:ascii="Times New Roman" w:hAnsi="Times New Roman" w:cs="Times New Roman"/>
          <w:i/>
          <w:lang w:val="en-GB"/>
        </w:rPr>
        <w:t>européenne</w:t>
      </w:r>
      <w:proofErr w:type="spellEnd"/>
      <w:r w:rsidR="00623E9E" w:rsidRPr="00A37F5E">
        <w:rPr>
          <w:rFonts w:ascii="Times New Roman" w:hAnsi="Times New Roman" w:cs="Times New Roman"/>
          <w:lang w:val="en-GB"/>
        </w:rPr>
        <w:t xml:space="preserve"> (</w:t>
      </w:r>
      <w:proofErr w:type="spellStart"/>
      <w:r w:rsidR="00623E9E" w:rsidRPr="00A37F5E">
        <w:rPr>
          <w:rFonts w:ascii="Times New Roman" w:hAnsi="Times New Roman" w:cs="Times New Roman"/>
          <w:lang w:val="en-GB"/>
        </w:rPr>
        <w:t>Larc</w:t>
      </w:r>
      <w:r w:rsidR="007D3513" w:rsidRPr="00A37F5E">
        <w:rPr>
          <w:rFonts w:ascii="Times New Roman" w:hAnsi="Times New Roman" w:cs="Times New Roman"/>
          <w:lang w:val="en-GB"/>
        </w:rPr>
        <w:t>ier</w:t>
      </w:r>
      <w:proofErr w:type="spellEnd"/>
      <w:r w:rsidR="007D3513" w:rsidRPr="00A37F5E">
        <w:rPr>
          <w:rFonts w:ascii="Times New Roman" w:hAnsi="Times New Roman" w:cs="Times New Roman"/>
          <w:lang w:val="en-GB"/>
        </w:rPr>
        <w:t>, 2020), pp. 1133-1161,at 1137;</w:t>
      </w:r>
      <w:r w:rsidR="00623E9E" w:rsidRPr="00A37F5E">
        <w:rPr>
          <w:rFonts w:ascii="Times New Roman" w:hAnsi="Times New Roman" w:cs="Times New Roman"/>
          <w:lang w:val="en-GB"/>
        </w:rPr>
        <w:t xml:space="preserve"> </w:t>
      </w:r>
      <w:r w:rsidR="00555059" w:rsidRPr="00A37F5E">
        <w:rPr>
          <w:rFonts w:ascii="Times New Roman" w:hAnsi="Times New Roman" w:cs="Times New Roman"/>
          <w:lang w:val="en-GB"/>
        </w:rPr>
        <w:t>Ward</w:t>
      </w:r>
      <w:r w:rsidRPr="00A37F5E">
        <w:rPr>
          <w:rFonts w:ascii="Times New Roman" w:hAnsi="Times New Roman" w:cs="Times New Roman"/>
          <w:lang w:val="en-GB"/>
        </w:rPr>
        <w:t xml:space="preserve">, “Art 47 – Right to an Effective Remedy” in </w:t>
      </w:r>
      <w:r w:rsidR="00FA37BA" w:rsidRPr="00A37F5E">
        <w:rPr>
          <w:rFonts w:ascii="Times New Roman" w:hAnsi="Times New Roman" w:cs="Times New Roman"/>
          <w:lang w:val="en-GB"/>
        </w:rPr>
        <w:t xml:space="preserve">Peers, Hervey, Kenner and Ward (eds.), </w:t>
      </w:r>
      <w:r w:rsidR="00FA37BA" w:rsidRPr="00A37F5E">
        <w:rPr>
          <w:rFonts w:ascii="Times New Roman" w:hAnsi="Times New Roman" w:cs="Times New Roman"/>
          <w:i/>
          <w:lang w:val="en-GB"/>
        </w:rPr>
        <w:t>The EU Charter of Fundamental Rights. A Commentary</w:t>
      </w:r>
      <w:r w:rsidR="00FA37BA" w:rsidRPr="00A37F5E">
        <w:rPr>
          <w:rFonts w:ascii="Times New Roman" w:hAnsi="Times New Roman" w:cs="Times New Roman"/>
          <w:lang w:val="en-GB"/>
        </w:rPr>
        <w:t xml:space="preserve"> (Hart, 2014) p. </w:t>
      </w:r>
      <w:r w:rsidR="00555059" w:rsidRPr="00A37F5E">
        <w:rPr>
          <w:rFonts w:ascii="Times New Roman" w:hAnsi="Times New Roman" w:cs="Times New Roman"/>
          <w:lang w:val="en-GB"/>
        </w:rPr>
        <w:t>1199.</w:t>
      </w:r>
    </w:p>
  </w:footnote>
  <w:footnote w:id="60">
    <w:p w14:paraId="17752189" w14:textId="1450B980"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Case C-64/16, </w:t>
      </w:r>
      <w:proofErr w:type="spellStart"/>
      <w:r w:rsidRPr="00A37F5E">
        <w:rPr>
          <w:rFonts w:ascii="Times New Roman" w:hAnsi="Times New Roman" w:cs="Times New Roman"/>
          <w:i/>
          <w:lang w:val="en-GB"/>
        </w:rPr>
        <w:t>Associação</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Sindical</w:t>
      </w:r>
      <w:proofErr w:type="spellEnd"/>
      <w:r w:rsidRPr="00A37F5E">
        <w:rPr>
          <w:rFonts w:ascii="Times New Roman" w:hAnsi="Times New Roman" w:cs="Times New Roman"/>
          <w:i/>
          <w:lang w:val="en-GB"/>
        </w:rPr>
        <w:t xml:space="preserve"> dos </w:t>
      </w:r>
      <w:proofErr w:type="spellStart"/>
      <w:r w:rsidRPr="00A37F5E">
        <w:rPr>
          <w:rFonts w:ascii="Times New Roman" w:hAnsi="Times New Roman" w:cs="Times New Roman"/>
          <w:i/>
          <w:lang w:val="en-GB"/>
        </w:rPr>
        <w:t>Juízes</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Portugueses</w:t>
      </w:r>
      <w:proofErr w:type="spellEnd"/>
      <w:r w:rsidRPr="00A37F5E">
        <w:rPr>
          <w:rFonts w:ascii="Times New Roman" w:hAnsi="Times New Roman" w:cs="Times New Roman"/>
          <w:lang w:val="en-GB"/>
        </w:rPr>
        <w:t>, EU:C:2018:117.</w:t>
      </w:r>
    </w:p>
  </w:footnote>
  <w:footnote w:id="61">
    <w:p w14:paraId="381F04A7" w14:textId="19CEC0D4"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w:t>
      </w:r>
      <w:r w:rsidR="00F95F1C" w:rsidRPr="00A37F5E">
        <w:rPr>
          <w:rFonts w:ascii="Times New Roman" w:hAnsi="Times New Roman" w:cs="Times New Roman"/>
          <w:lang w:val="en-GB"/>
        </w:rPr>
        <w:t>f</w:t>
      </w:r>
      <w:r w:rsidR="00E160BE" w:rsidRPr="00A37F5E">
        <w:rPr>
          <w:rFonts w:ascii="Times New Roman" w:hAnsi="Times New Roman" w:cs="Times New Roman"/>
          <w:lang w:val="en-GB"/>
        </w:rPr>
        <w:t>or some notable</w:t>
      </w:r>
      <w:r w:rsidRPr="00A37F5E">
        <w:rPr>
          <w:rFonts w:ascii="Times New Roman" w:hAnsi="Times New Roman" w:cs="Times New Roman"/>
          <w:lang w:val="en-GB"/>
        </w:rPr>
        <w:t xml:space="preserve"> examples: </w:t>
      </w:r>
      <w:proofErr w:type="spellStart"/>
      <w:r w:rsidRPr="00A37F5E">
        <w:rPr>
          <w:rFonts w:ascii="Times New Roman" w:hAnsi="Times New Roman" w:cs="Times New Roman"/>
          <w:lang w:val="en-GB"/>
        </w:rPr>
        <w:t>Platon</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Pech</w:t>
      </w:r>
      <w:proofErr w:type="spellEnd"/>
      <w:r w:rsidRPr="00A37F5E">
        <w:rPr>
          <w:rFonts w:ascii="Times New Roman" w:hAnsi="Times New Roman" w:cs="Times New Roman"/>
          <w:lang w:val="en-GB"/>
        </w:rPr>
        <w:t>, “Judicial independence under threat: The Court of Justice to the rescue in the ASJP case”, 55 CML Rev</w:t>
      </w:r>
      <w:r w:rsidR="00245406" w:rsidRPr="00A37F5E">
        <w:rPr>
          <w:rFonts w:ascii="Times New Roman" w:hAnsi="Times New Roman" w:cs="Times New Roman"/>
          <w:lang w:val="en-GB"/>
        </w:rPr>
        <w:t>. (2018</w:t>
      </w:r>
      <w:r w:rsidR="004E720B" w:rsidRPr="00A37F5E">
        <w:rPr>
          <w:rFonts w:ascii="Times New Roman" w:hAnsi="Times New Roman" w:cs="Times New Roman"/>
          <w:lang w:val="en-GB"/>
        </w:rPr>
        <w:t>), pp. 1827-1854;</w:t>
      </w:r>
      <w:r w:rsidRPr="00A37F5E">
        <w:rPr>
          <w:rFonts w:ascii="Times New Roman" w:hAnsi="Times New Roman" w:cs="Times New Roman"/>
          <w:lang w:val="en-GB"/>
        </w:rPr>
        <w:t xml:space="preserve"> </w:t>
      </w:r>
      <w:proofErr w:type="spellStart"/>
      <w:r w:rsidR="00FA37BA" w:rsidRPr="00A37F5E">
        <w:rPr>
          <w:rFonts w:ascii="Times New Roman" w:hAnsi="Times New Roman" w:cs="Times New Roman"/>
          <w:lang w:val="en-GB"/>
        </w:rPr>
        <w:t>Bonelli</w:t>
      </w:r>
      <w:proofErr w:type="spellEnd"/>
      <w:r w:rsidR="00FA37BA" w:rsidRPr="00A37F5E">
        <w:rPr>
          <w:rFonts w:ascii="Times New Roman" w:hAnsi="Times New Roman" w:cs="Times New Roman"/>
          <w:lang w:val="en-GB"/>
        </w:rPr>
        <w:t xml:space="preserve"> and </w:t>
      </w:r>
      <w:proofErr w:type="spellStart"/>
      <w:r w:rsidR="00FA37BA" w:rsidRPr="00A37F5E">
        <w:rPr>
          <w:rFonts w:ascii="Times New Roman" w:hAnsi="Times New Roman" w:cs="Times New Roman"/>
          <w:lang w:val="en-GB"/>
        </w:rPr>
        <w:t>Claes</w:t>
      </w:r>
      <w:proofErr w:type="spellEnd"/>
      <w:r w:rsidR="00FA37BA" w:rsidRPr="00A37F5E">
        <w:rPr>
          <w:rFonts w:ascii="Times New Roman" w:hAnsi="Times New Roman" w:cs="Times New Roman"/>
          <w:lang w:val="en-GB"/>
        </w:rPr>
        <w:t xml:space="preserve">, “Judicial serendipity: how Portuguese judges came to the rescue of the Polish judiciary. ECJ 27 February 2018, Case C-64/16, </w:t>
      </w:r>
      <w:proofErr w:type="spellStart"/>
      <w:r w:rsidR="00FA37BA" w:rsidRPr="00A37F5E">
        <w:rPr>
          <w:rFonts w:ascii="Times New Roman" w:hAnsi="Times New Roman" w:cs="Times New Roman"/>
          <w:i/>
          <w:lang w:val="en-GB"/>
        </w:rPr>
        <w:t>Associação</w:t>
      </w:r>
      <w:proofErr w:type="spellEnd"/>
      <w:r w:rsidR="00FA37BA" w:rsidRPr="00A37F5E">
        <w:rPr>
          <w:rFonts w:ascii="Times New Roman" w:hAnsi="Times New Roman" w:cs="Times New Roman"/>
          <w:i/>
          <w:lang w:val="en-GB"/>
        </w:rPr>
        <w:t xml:space="preserve"> </w:t>
      </w:r>
      <w:proofErr w:type="spellStart"/>
      <w:r w:rsidR="00FA37BA" w:rsidRPr="00A37F5E">
        <w:rPr>
          <w:rFonts w:ascii="Times New Roman" w:hAnsi="Times New Roman" w:cs="Times New Roman"/>
          <w:i/>
          <w:lang w:val="en-GB"/>
        </w:rPr>
        <w:t>Sindical</w:t>
      </w:r>
      <w:proofErr w:type="spellEnd"/>
      <w:r w:rsidR="00FA37BA" w:rsidRPr="00A37F5E">
        <w:rPr>
          <w:rFonts w:ascii="Times New Roman" w:hAnsi="Times New Roman" w:cs="Times New Roman"/>
          <w:i/>
          <w:lang w:val="en-GB"/>
        </w:rPr>
        <w:t xml:space="preserve"> dos </w:t>
      </w:r>
      <w:proofErr w:type="spellStart"/>
      <w:r w:rsidR="00FA37BA" w:rsidRPr="00A37F5E">
        <w:rPr>
          <w:rFonts w:ascii="Times New Roman" w:hAnsi="Times New Roman" w:cs="Times New Roman"/>
          <w:i/>
          <w:lang w:val="en-GB"/>
        </w:rPr>
        <w:t>Juízes</w:t>
      </w:r>
      <w:proofErr w:type="spellEnd"/>
      <w:r w:rsidR="00FA37BA" w:rsidRPr="00A37F5E">
        <w:rPr>
          <w:rFonts w:ascii="Times New Roman" w:hAnsi="Times New Roman" w:cs="Times New Roman"/>
          <w:i/>
          <w:lang w:val="en-GB"/>
        </w:rPr>
        <w:t xml:space="preserve"> </w:t>
      </w:r>
      <w:proofErr w:type="spellStart"/>
      <w:r w:rsidR="00FA37BA" w:rsidRPr="00A37F5E">
        <w:rPr>
          <w:rFonts w:ascii="Times New Roman" w:hAnsi="Times New Roman" w:cs="Times New Roman"/>
          <w:i/>
          <w:lang w:val="en-GB"/>
        </w:rPr>
        <w:t>Portugueses</w:t>
      </w:r>
      <w:proofErr w:type="spellEnd"/>
      <w:r w:rsidR="004E720B" w:rsidRPr="00A37F5E">
        <w:rPr>
          <w:rFonts w:ascii="Times New Roman" w:hAnsi="Times New Roman" w:cs="Times New Roman"/>
          <w:lang w:val="en-GB"/>
        </w:rPr>
        <w:t>”,</w:t>
      </w:r>
      <w:r w:rsidR="00FA37BA" w:rsidRPr="00A37F5E">
        <w:rPr>
          <w:rFonts w:ascii="Times New Roman" w:hAnsi="Times New Roman" w:cs="Times New Roman"/>
          <w:lang w:val="en-GB"/>
        </w:rPr>
        <w:t xml:space="preserve"> 14 </w:t>
      </w:r>
      <w:proofErr w:type="spellStart"/>
      <w:r w:rsidR="00FA37BA" w:rsidRPr="00A37F5E">
        <w:rPr>
          <w:rFonts w:ascii="Times New Roman" w:hAnsi="Times New Roman" w:cs="Times New Roman"/>
          <w:lang w:val="en-GB"/>
        </w:rPr>
        <w:t>EuConst</w:t>
      </w:r>
      <w:proofErr w:type="spellEnd"/>
      <w:r w:rsidR="00FA37BA" w:rsidRPr="00A37F5E">
        <w:rPr>
          <w:rFonts w:ascii="Times New Roman" w:hAnsi="Times New Roman" w:cs="Times New Roman"/>
          <w:i/>
          <w:lang w:val="en-GB"/>
        </w:rPr>
        <w:t xml:space="preserve"> </w:t>
      </w:r>
      <w:r w:rsidR="00F95F1C" w:rsidRPr="00A37F5E">
        <w:rPr>
          <w:rFonts w:ascii="Times New Roman" w:hAnsi="Times New Roman" w:cs="Times New Roman"/>
          <w:lang w:val="en-GB"/>
        </w:rPr>
        <w:t xml:space="preserve">(2018), pp. 622-643; </w:t>
      </w:r>
      <w:proofErr w:type="spellStart"/>
      <w:r w:rsidR="00F95F1C" w:rsidRPr="00A37F5E">
        <w:rPr>
          <w:rFonts w:ascii="Times New Roman" w:hAnsi="Times New Roman" w:cs="Times New Roman"/>
          <w:lang w:val="en-GB"/>
        </w:rPr>
        <w:t>Mickonytė</w:t>
      </w:r>
      <w:proofErr w:type="spellEnd"/>
      <w:r w:rsidR="00F95F1C" w:rsidRPr="00A37F5E">
        <w:rPr>
          <w:rFonts w:ascii="Times New Roman" w:hAnsi="Times New Roman" w:cs="Times New Roman"/>
          <w:lang w:val="en-GB"/>
        </w:rPr>
        <w:t xml:space="preserve">, “Effects of the Rule-of-Law Crisis in the EU: Towards Centralization of the EU System of Judicial Protection”, 79 </w:t>
      </w:r>
      <w:r w:rsidR="00F95F1C" w:rsidRPr="00A37F5E">
        <w:rPr>
          <w:rFonts w:ascii="Times New Roman" w:hAnsi="Times New Roman" w:cs="Times New Roman"/>
          <w:i/>
          <w:lang w:val="en-GB"/>
        </w:rPr>
        <w:t xml:space="preserve">Heidelberg Journal of International Law </w:t>
      </w:r>
      <w:r w:rsidR="00F95F1C" w:rsidRPr="00A37F5E">
        <w:rPr>
          <w:rFonts w:ascii="Times New Roman" w:hAnsi="Times New Roman" w:cs="Times New Roman"/>
          <w:lang w:val="en-GB"/>
        </w:rPr>
        <w:t>(2019), pp. 815-840.</w:t>
      </w:r>
    </w:p>
  </w:footnote>
  <w:footnote w:id="62">
    <w:p w14:paraId="05258706" w14:textId="232F24ED"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With reference to: Case C-583/11 P, </w:t>
      </w:r>
      <w:r w:rsidRPr="00A37F5E">
        <w:rPr>
          <w:rFonts w:ascii="Times New Roman" w:hAnsi="Times New Roman" w:cs="Times New Roman"/>
          <w:i/>
          <w:lang w:val="en-GB"/>
        </w:rPr>
        <w:t xml:space="preserve">Inuit </w:t>
      </w:r>
      <w:proofErr w:type="spellStart"/>
      <w:r w:rsidRPr="00A37F5E">
        <w:rPr>
          <w:rFonts w:ascii="Times New Roman" w:hAnsi="Times New Roman" w:cs="Times New Roman"/>
          <w:i/>
          <w:lang w:val="en-GB"/>
        </w:rPr>
        <w:t>Tapiriit</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Kanatami</w:t>
      </w:r>
      <w:proofErr w:type="spellEnd"/>
      <w:r w:rsidRPr="00A37F5E">
        <w:rPr>
          <w:rFonts w:ascii="Times New Roman" w:hAnsi="Times New Roman" w:cs="Times New Roman"/>
          <w:i/>
          <w:lang w:val="en-GB"/>
        </w:rPr>
        <w:t xml:space="preserve"> and Others </w:t>
      </w:r>
      <w:r w:rsidRPr="00A37F5E">
        <w:rPr>
          <w:rFonts w:ascii="Times New Roman" w:hAnsi="Times New Roman" w:cs="Times New Roman"/>
          <w:lang w:val="en-GB"/>
        </w:rPr>
        <w:t>v.</w:t>
      </w:r>
      <w:r w:rsidRPr="00A37F5E">
        <w:rPr>
          <w:rFonts w:ascii="Times New Roman" w:hAnsi="Times New Roman" w:cs="Times New Roman"/>
          <w:i/>
          <w:lang w:val="en-GB"/>
        </w:rPr>
        <w:t xml:space="preserve"> Parliament and Council</w:t>
      </w:r>
      <w:r w:rsidRPr="00A37F5E">
        <w:rPr>
          <w:rFonts w:ascii="Times New Roman" w:hAnsi="Times New Roman" w:cs="Times New Roman"/>
          <w:lang w:val="en-GB"/>
        </w:rPr>
        <w:t>, EU:C:2013:625, para 99.</w:t>
      </w:r>
    </w:p>
  </w:footnote>
  <w:footnote w:id="63">
    <w:p w14:paraId="224427DD" w14:textId="5B5AB9BC"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C-64/16, </w:t>
      </w:r>
      <w:proofErr w:type="spellStart"/>
      <w:r w:rsidRPr="00A37F5E">
        <w:rPr>
          <w:rFonts w:ascii="Times New Roman" w:hAnsi="Times New Roman" w:cs="Times New Roman"/>
          <w:i/>
          <w:lang w:val="fr-BE"/>
        </w:rPr>
        <w:t>Associação</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Sindical</w:t>
      </w:r>
      <w:proofErr w:type="spellEnd"/>
      <w:r w:rsidRPr="00A37F5E">
        <w:rPr>
          <w:rFonts w:ascii="Times New Roman" w:hAnsi="Times New Roman" w:cs="Times New Roman"/>
          <w:i/>
          <w:lang w:val="fr-BE"/>
        </w:rPr>
        <w:t xml:space="preserve"> dos </w:t>
      </w:r>
      <w:proofErr w:type="spellStart"/>
      <w:r w:rsidRPr="00A37F5E">
        <w:rPr>
          <w:rFonts w:ascii="Times New Roman" w:hAnsi="Times New Roman" w:cs="Times New Roman"/>
          <w:i/>
          <w:lang w:val="fr-BE"/>
        </w:rPr>
        <w:t>Juízes</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Portugueses</w:t>
      </w:r>
      <w:proofErr w:type="spellEnd"/>
      <w:r w:rsidRPr="00A37F5E">
        <w:rPr>
          <w:rFonts w:ascii="Times New Roman" w:hAnsi="Times New Roman" w:cs="Times New Roman"/>
          <w:lang w:val="fr-BE"/>
        </w:rPr>
        <w:t>, paras 33, 34 and 37.</w:t>
      </w:r>
    </w:p>
  </w:footnote>
  <w:footnote w:id="64">
    <w:p w14:paraId="2DB9422D" w14:textId="2CB66B2F"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00ED33FE" w:rsidRPr="00A37F5E">
        <w:rPr>
          <w:rFonts w:ascii="Times New Roman" w:hAnsi="Times New Roman" w:cs="Times New Roman"/>
          <w:lang w:val="en-GB"/>
        </w:rPr>
        <w:t xml:space="preserve"> Joined Cases C-558/18 and C-563/18, </w:t>
      </w:r>
      <w:proofErr w:type="spellStart"/>
      <w:r w:rsidR="00ED33FE" w:rsidRPr="00A37F5E">
        <w:rPr>
          <w:rFonts w:ascii="Times New Roman" w:hAnsi="Times New Roman" w:cs="Times New Roman"/>
          <w:i/>
          <w:lang w:val="en-GB"/>
        </w:rPr>
        <w:t>Miasto</w:t>
      </w:r>
      <w:proofErr w:type="spellEnd"/>
      <w:r w:rsidR="00ED33FE" w:rsidRPr="00A37F5E">
        <w:rPr>
          <w:rFonts w:ascii="Times New Roman" w:hAnsi="Times New Roman" w:cs="Times New Roman"/>
          <w:i/>
          <w:lang w:val="en-GB"/>
        </w:rPr>
        <w:t xml:space="preserve"> </w:t>
      </w:r>
      <w:proofErr w:type="spellStart"/>
      <w:r w:rsidR="00ED33FE" w:rsidRPr="00A37F5E">
        <w:rPr>
          <w:rFonts w:ascii="Times New Roman" w:hAnsi="Times New Roman" w:cs="Times New Roman"/>
          <w:i/>
          <w:lang w:val="en-GB"/>
        </w:rPr>
        <w:t>Łowicz</w:t>
      </w:r>
      <w:proofErr w:type="spellEnd"/>
      <w:r w:rsidR="00ED33FE" w:rsidRPr="00A37F5E">
        <w:rPr>
          <w:rFonts w:ascii="Times New Roman" w:hAnsi="Times New Roman" w:cs="Times New Roman"/>
          <w:lang w:val="en-GB"/>
        </w:rPr>
        <w:t>, EU:C:2020:234, para 33;</w:t>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C-585/18, C-524/18 and C-525/18, </w:t>
      </w:r>
      <w:r w:rsidRPr="00A37F5E">
        <w:rPr>
          <w:rFonts w:ascii="Times New Roman" w:hAnsi="Times New Roman" w:cs="Times New Roman"/>
          <w:i/>
          <w:lang w:val="en-GB"/>
        </w:rPr>
        <w:t>A. K., CP and DO</w:t>
      </w:r>
      <w:r w:rsidRPr="00A37F5E">
        <w:rPr>
          <w:rFonts w:ascii="Times New Roman" w:hAnsi="Times New Roman" w:cs="Times New Roman"/>
          <w:lang w:val="en-GB"/>
        </w:rPr>
        <w:t xml:space="preserve">, para 82; Case C-619/18, </w:t>
      </w:r>
      <w:r w:rsidRPr="00A37F5E">
        <w:rPr>
          <w:rFonts w:ascii="Times New Roman" w:hAnsi="Times New Roman" w:cs="Times New Roman"/>
          <w:i/>
          <w:lang w:val="en-GB"/>
        </w:rPr>
        <w:t xml:space="preserve">Commission </w:t>
      </w:r>
      <w:r w:rsidRPr="00A37F5E">
        <w:rPr>
          <w:rFonts w:ascii="Times New Roman" w:hAnsi="Times New Roman" w:cs="Times New Roman"/>
          <w:lang w:val="en-GB"/>
        </w:rPr>
        <w:t xml:space="preserve">v. </w:t>
      </w:r>
      <w:r w:rsidRPr="00A37F5E">
        <w:rPr>
          <w:rFonts w:ascii="Times New Roman" w:hAnsi="Times New Roman" w:cs="Times New Roman"/>
          <w:i/>
          <w:lang w:val="en-GB"/>
        </w:rPr>
        <w:t>Poland (</w:t>
      </w:r>
      <w:proofErr w:type="spellStart"/>
      <w:r w:rsidRPr="00A37F5E">
        <w:rPr>
          <w:rFonts w:ascii="Times New Roman" w:hAnsi="Times New Roman" w:cs="Times New Roman"/>
          <w:i/>
          <w:lang w:val="en-GB"/>
        </w:rPr>
        <w:t>Indépendance</w:t>
      </w:r>
      <w:proofErr w:type="spellEnd"/>
      <w:r w:rsidRPr="00A37F5E">
        <w:rPr>
          <w:rFonts w:ascii="Times New Roman" w:hAnsi="Times New Roman" w:cs="Times New Roman"/>
          <w:i/>
          <w:lang w:val="en-GB"/>
        </w:rPr>
        <w:t xml:space="preserve"> de la </w:t>
      </w:r>
      <w:proofErr w:type="spellStart"/>
      <w:r w:rsidRPr="00A37F5E">
        <w:rPr>
          <w:rFonts w:ascii="Times New Roman" w:hAnsi="Times New Roman" w:cs="Times New Roman"/>
          <w:i/>
          <w:lang w:val="en-GB"/>
        </w:rPr>
        <w:t>Cour</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suprême</w:t>
      </w:r>
      <w:proofErr w:type="spellEnd"/>
      <w:r w:rsidRPr="00A37F5E">
        <w:rPr>
          <w:rFonts w:ascii="Times New Roman" w:hAnsi="Times New Roman" w:cs="Times New Roman"/>
          <w:i/>
          <w:lang w:val="en-GB"/>
        </w:rPr>
        <w:t>)</w:t>
      </w:r>
      <w:r w:rsidRPr="00A37F5E">
        <w:rPr>
          <w:rFonts w:ascii="Times New Roman" w:hAnsi="Times New Roman" w:cs="Times New Roman"/>
          <w:lang w:val="en-GB"/>
        </w:rPr>
        <w:t>, para 50.</w:t>
      </w:r>
    </w:p>
  </w:footnote>
  <w:footnote w:id="65">
    <w:p w14:paraId="1510ABF1" w14:textId="4205F788"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00016963" w:rsidRPr="00A37F5E">
        <w:rPr>
          <w:rFonts w:ascii="Times New Roman" w:hAnsi="Times New Roman" w:cs="Times New Roman"/>
          <w:lang w:val="en-GB"/>
        </w:rPr>
        <w:t>Platon</w:t>
      </w:r>
      <w:proofErr w:type="spellEnd"/>
      <w:r w:rsidR="00016963" w:rsidRPr="00A37F5E">
        <w:rPr>
          <w:rFonts w:ascii="Times New Roman" w:hAnsi="Times New Roman" w:cs="Times New Roman"/>
          <w:lang w:val="en-GB"/>
        </w:rPr>
        <w:t xml:space="preserve"> and </w:t>
      </w:r>
      <w:proofErr w:type="spellStart"/>
      <w:r w:rsidR="00016963" w:rsidRPr="00A37F5E">
        <w:rPr>
          <w:rFonts w:ascii="Times New Roman" w:hAnsi="Times New Roman" w:cs="Times New Roman"/>
          <w:lang w:val="en-GB"/>
        </w:rPr>
        <w:t>Pech</w:t>
      </w:r>
      <w:proofErr w:type="spellEnd"/>
      <w:r w:rsidR="00016963" w:rsidRPr="00A37F5E">
        <w:rPr>
          <w:rFonts w:ascii="Times New Roman" w:hAnsi="Times New Roman" w:cs="Times New Roman"/>
          <w:lang w:val="en-GB"/>
        </w:rPr>
        <w:t xml:space="preserve">, </w:t>
      </w:r>
      <w:r w:rsidR="00B90E97">
        <w:rPr>
          <w:rFonts w:ascii="Times New Roman" w:hAnsi="Times New Roman" w:cs="Times New Roman"/>
          <w:lang w:val="en-GB"/>
        </w:rPr>
        <w:t xml:space="preserve">op. cit. </w:t>
      </w:r>
      <w:r w:rsidR="00B90E97">
        <w:rPr>
          <w:rFonts w:ascii="Times New Roman" w:hAnsi="Times New Roman" w:cs="Times New Roman"/>
          <w:i/>
          <w:lang w:val="en-GB"/>
        </w:rPr>
        <w:t xml:space="preserve">supra </w:t>
      </w:r>
      <w:r w:rsidR="00B90E97">
        <w:rPr>
          <w:rFonts w:ascii="Times New Roman" w:hAnsi="Times New Roman" w:cs="Times New Roman"/>
          <w:lang w:val="en-GB"/>
        </w:rPr>
        <w:t xml:space="preserve">note </w:t>
      </w:r>
      <w:r w:rsidR="00226B2A">
        <w:rPr>
          <w:rFonts w:ascii="Times New Roman" w:hAnsi="Times New Roman" w:cs="Times New Roman"/>
          <w:lang w:val="en-GB"/>
        </w:rPr>
        <w:t>61</w:t>
      </w:r>
      <w:r w:rsidR="00016963" w:rsidRPr="00A37F5E">
        <w:rPr>
          <w:rFonts w:ascii="Times New Roman" w:hAnsi="Times New Roman" w:cs="Times New Roman"/>
          <w:lang w:val="en-GB"/>
        </w:rPr>
        <w:t>, at p. 1840.</w:t>
      </w:r>
    </w:p>
  </w:footnote>
  <w:footnote w:id="66">
    <w:p w14:paraId="1EB9D26E" w14:textId="2D71C7D9" w:rsidR="000279D4" w:rsidRPr="00A37F5E" w:rsidRDefault="000279D4" w:rsidP="00A37F5E">
      <w:pPr>
        <w:pStyle w:val="Voetnoottekst"/>
        <w:jc w:val="both"/>
        <w:rPr>
          <w:rFonts w:ascii="Times New Roman" w:hAnsi="Times New Roman" w:cs="Times New Roman"/>
          <w:color w:val="FF0000"/>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In a recent decision, the Court has made clear that</w:t>
      </w:r>
      <w:r w:rsidR="006A5121" w:rsidRPr="00A37F5E">
        <w:rPr>
          <w:rFonts w:ascii="Times New Roman" w:hAnsi="Times New Roman" w:cs="Times New Roman"/>
          <w:lang w:val="en-GB"/>
        </w:rPr>
        <w:t xml:space="preserve"> domestic courts cannot rely on Article 19(1)(2) TEU in all circumstances and clarified that</w:t>
      </w:r>
      <w:r w:rsidRPr="00A37F5E">
        <w:rPr>
          <w:rFonts w:ascii="Times New Roman" w:hAnsi="Times New Roman" w:cs="Times New Roman"/>
          <w:lang w:val="en-GB"/>
        </w:rPr>
        <w:t xml:space="preserve"> there is a procedural limit to preliminary references concerning </w:t>
      </w:r>
      <w:r w:rsidR="006A5121" w:rsidRPr="00A37F5E">
        <w:rPr>
          <w:rFonts w:ascii="Times New Roman" w:hAnsi="Times New Roman" w:cs="Times New Roman"/>
          <w:lang w:val="en-GB"/>
        </w:rPr>
        <w:t>this provision</w:t>
      </w:r>
      <w:r w:rsidRPr="00A37F5E">
        <w:rPr>
          <w:rFonts w:ascii="Times New Roman" w:hAnsi="Times New Roman" w:cs="Times New Roman"/>
          <w:lang w:val="en-GB"/>
        </w:rPr>
        <w:t>.</w:t>
      </w:r>
      <w:r w:rsidR="006A5121" w:rsidRPr="00A37F5E">
        <w:rPr>
          <w:rFonts w:ascii="Times New Roman" w:hAnsi="Times New Roman" w:cs="Times New Roman"/>
          <w:lang w:val="en-GB"/>
        </w:rPr>
        <w:t xml:space="preserve"> In this decision, the Court held that there should still be a connecting factor between the dispute in question and the provisions of EU law. If there is no such connection </w:t>
      </w:r>
      <w:r w:rsidR="009E56E9" w:rsidRPr="00A37F5E">
        <w:rPr>
          <w:rFonts w:ascii="Times New Roman" w:hAnsi="Times New Roman" w:cs="Times New Roman"/>
          <w:lang w:val="en-GB"/>
        </w:rPr>
        <w:t xml:space="preserve">in the case at hand </w:t>
      </w:r>
      <w:r w:rsidR="006A5121" w:rsidRPr="00A37F5E">
        <w:rPr>
          <w:rFonts w:ascii="Times New Roman" w:hAnsi="Times New Roman" w:cs="Times New Roman"/>
          <w:lang w:val="en-GB"/>
        </w:rPr>
        <w:t xml:space="preserve">and there are no other reasons to provide the domestic court with an interpretation of Article 19(1)(2) TEU, then the request for a preliminary ruling will be found inadmissible. See: Joined Cases C-558/18 and C-563/18, </w:t>
      </w:r>
      <w:proofErr w:type="spellStart"/>
      <w:r w:rsidR="006A5121" w:rsidRPr="00A37F5E">
        <w:rPr>
          <w:rFonts w:ascii="Times New Roman" w:hAnsi="Times New Roman" w:cs="Times New Roman"/>
          <w:i/>
          <w:lang w:val="en-GB"/>
        </w:rPr>
        <w:t>Miasto</w:t>
      </w:r>
      <w:proofErr w:type="spellEnd"/>
      <w:r w:rsidR="006A5121" w:rsidRPr="00A37F5E">
        <w:rPr>
          <w:rFonts w:ascii="Times New Roman" w:hAnsi="Times New Roman" w:cs="Times New Roman"/>
          <w:i/>
          <w:lang w:val="en-GB"/>
        </w:rPr>
        <w:t xml:space="preserve"> </w:t>
      </w:r>
      <w:proofErr w:type="spellStart"/>
      <w:r w:rsidR="006A5121" w:rsidRPr="00A37F5E">
        <w:rPr>
          <w:rFonts w:ascii="Times New Roman" w:hAnsi="Times New Roman" w:cs="Times New Roman"/>
          <w:i/>
          <w:lang w:val="en-GB"/>
        </w:rPr>
        <w:t>Łowicz</w:t>
      </w:r>
      <w:proofErr w:type="spellEnd"/>
      <w:r w:rsidR="007A4C55">
        <w:rPr>
          <w:rFonts w:ascii="Times New Roman" w:hAnsi="Times New Roman" w:cs="Times New Roman"/>
          <w:lang w:val="en-GB"/>
        </w:rPr>
        <w:t>, paras 41-53</w:t>
      </w:r>
      <w:r w:rsidR="006A5121" w:rsidRPr="00A37F5E">
        <w:rPr>
          <w:rFonts w:ascii="Times New Roman" w:hAnsi="Times New Roman" w:cs="Times New Roman"/>
          <w:lang w:val="en-GB"/>
        </w:rPr>
        <w:t>.</w:t>
      </w:r>
    </w:p>
  </w:footnote>
  <w:footnote w:id="67">
    <w:p w14:paraId="2DC9A5BB" w14:textId="68E103FE"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proofErr w:type="spellStart"/>
      <w:r w:rsidR="009646A2" w:rsidRPr="00A37F5E">
        <w:rPr>
          <w:rFonts w:ascii="Times New Roman" w:hAnsi="Times New Roman" w:cs="Times New Roman"/>
          <w:lang w:val="en-GB"/>
        </w:rPr>
        <w:t>Bonelli</w:t>
      </w:r>
      <w:proofErr w:type="spellEnd"/>
      <w:r w:rsidR="009646A2" w:rsidRPr="00A37F5E">
        <w:rPr>
          <w:rFonts w:ascii="Times New Roman" w:hAnsi="Times New Roman" w:cs="Times New Roman"/>
          <w:lang w:val="en-GB"/>
        </w:rPr>
        <w:t xml:space="preserve"> and </w:t>
      </w:r>
      <w:proofErr w:type="spellStart"/>
      <w:r w:rsidR="009646A2" w:rsidRPr="00A37F5E">
        <w:rPr>
          <w:rFonts w:ascii="Times New Roman" w:hAnsi="Times New Roman" w:cs="Times New Roman"/>
          <w:lang w:val="en-GB"/>
        </w:rPr>
        <w:t>Claes</w:t>
      </w:r>
      <w:proofErr w:type="spellEnd"/>
      <w:r w:rsidR="009646A2" w:rsidRPr="00A37F5E">
        <w:rPr>
          <w:rFonts w:ascii="Times New Roman" w:hAnsi="Times New Roman" w:cs="Times New Roman"/>
          <w:lang w:val="en-GB"/>
        </w:rPr>
        <w:t xml:space="preserve">, </w:t>
      </w:r>
      <w:r w:rsidR="00B90E97">
        <w:rPr>
          <w:rFonts w:ascii="Times New Roman" w:hAnsi="Times New Roman" w:cs="Times New Roman"/>
          <w:lang w:val="en-GB"/>
        </w:rPr>
        <w:t xml:space="preserve">op. cit. </w:t>
      </w:r>
      <w:r w:rsidR="00B90E97">
        <w:rPr>
          <w:rFonts w:ascii="Times New Roman" w:hAnsi="Times New Roman" w:cs="Times New Roman"/>
          <w:i/>
          <w:lang w:val="en-GB"/>
        </w:rPr>
        <w:t>supra</w:t>
      </w:r>
      <w:r w:rsidR="00B90E97">
        <w:rPr>
          <w:rFonts w:ascii="Times New Roman" w:hAnsi="Times New Roman" w:cs="Times New Roman"/>
          <w:lang w:val="en-GB"/>
        </w:rPr>
        <w:t xml:space="preserve"> note </w:t>
      </w:r>
      <w:r w:rsidR="00226B2A">
        <w:rPr>
          <w:rFonts w:ascii="Times New Roman" w:hAnsi="Times New Roman" w:cs="Times New Roman"/>
          <w:lang w:val="en-GB"/>
        </w:rPr>
        <w:t>61</w:t>
      </w:r>
      <w:r w:rsidRPr="00A37F5E">
        <w:rPr>
          <w:rFonts w:ascii="Times New Roman" w:hAnsi="Times New Roman" w:cs="Times New Roman"/>
          <w:lang w:val="en-GB"/>
        </w:rPr>
        <w:t>,</w:t>
      </w:r>
      <w:r w:rsidR="009646A2" w:rsidRPr="00A37F5E">
        <w:rPr>
          <w:rFonts w:ascii="Times New Roman" w:hAnsi="Times New Roman" w:cs="Times New Roman"/>
          <w:lang w:val="en-GB"/>
        </w:rPr>
        <w:t xml:space="preserve"> at p.</w:t>
      </w:r>
      <w:r w:rsidRPr="00A37F5E">
        <w:rPr>
          <w:rFonts w:ascii="Times New Roman" w:hAnsi="Times New Roman" w:cs="Times New Roman"/>
          <w:lang w:val="en-GB"/>
        </w:rPr>
        <w:t xml:space="preserve"> 633.</w:t>
      </w:r>
    </w:p>
  </w:footnote>
  <w:footnote w:id="68">
    <w:p w14:paraId="24985CF4" w14:textId="1BCEC3A3"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r w:rsidR="00016963" w:rsidRPr="00A37F5E">
        <w:rPr>
          <w:rFonts w:ascii="Times New Roman" w:hAnsi="Times New Roman" w:cs="Times New Roman"/>
          <w:lang w:val="fr-BE"/>
        </w:rPr>
        <w:t xml:space="preserve">The </w:t>
      </w:r>
      <w:proofErr w:type="spellStart"/>
      <w:r w:rsidR="00016963" w:rsidRPr="00A37F5E">
        <w:rPr>
          <w:rFonts w:ascii="Times New Roman" w:hAnsi="Times New Roman" w:cs="Times New Roman"/>
          <w:lang w:val="fr-BE"/>
        </w:rPr>
        <w:t>most</w:t>
      </w:r>
      <w:proofErr w:type="spellEnd"/>
      <w:r w:rsidR="00016963" w:rsidRPr="00A37F5E">
        <w:rPr>
          <w:rFonts w:ascii="Times New Roman" w:hAnsi="Times New Roman" w:cs="Times New Roman"/>
          <w:lang w:val="fr-BE"/>
        </w:rPr>
        <w:t xml:space="preserve"> notable </w:t>
      </w:r>
      <w:proofErr w:type="spellStart"/>
      <w:r w:rsidR="00016963" w:rsidRPr="00A37F5E">
        <w:rPr>
          <w:rFonts w:ascii="Times New Roman" w:hAnsi="Times New Roman" w:cs="Times New Roman"/>
          <w:lang w:val="fr-BE"/>
        </w:rPr>
        <w:t>examples</w:t>
      </w:r>
      <w:proofErr w:type="spellEnd"/>
      <w:r w:rsidR="00016963" w:rsidRPr="00A37F5E">
        <w:rPr>
          <w:rFonts w:ascii="Times New Roman" w:hAnsi="Times New Roman" w:cs="Times New Roman"/>
          <w:lang w:val="fr-BE"/>
        </w:rPr>
        <w:t xml:space="preserve"> are: Case C-64/16, </w:t>
      </w:r>
      <w:proofErr w:type="spellStart"/>
      <w:r w:rsidR="00016963" w:rsidRPr="00A37F5E">
        <w:rPr>
          <w:rFonts w:ascii="Times New Roman" w:hAnsi="Times New Roman" w:cs="Times New Roman"/>
          <w:i/>
          <w:lang w:val="fr-BE"/>
        </w:rPr>
        <w:t>Associação</w:t>
      </w:r>
      <w:proofErr w:type="spellEnd"/>
      <w:r w:rsidR="00016963" w:rsidRPr="00A37F5E">
        <w:rPr>
          <w:rFonts w:ascii="Times New Roman" w:hAnsi="Times New Roman" w:cs="Times New Roman"/>
          <w:i/>
          <w:lang w:val="fr-BE"/>
        </w:rPr>
        <w:t xml:space="preserve"> </w:t>
      </w:r>
      <w:proofErr w:type="spellStart"/>
      <w:r w:rsidR="00016963" w:rsidRPr="00A37F5E">
        <w:rPr>
          <w:rFonts w:ascii="Times New Roman" w:hAnsi="Times New Roman" w:cs="Times New Roman"/>
          <w:i/>
          <w:lang w:val="fr-BE"/>
        </w:rPr>
        <w:t>Sindical</w:t>
      </w:r>
      <w:proofErr w:type="spellEnd"/>
      <w:r w:rsidR="00016963" w:rsidRPr="00A37F5E">
        <w:rPr>
          <w:rFonts w:ascii="Times New Roman" w:hAnsi="Times New Roman" w:cs="Times New Roman"/>
          <w:i/>
          <w:lang w:val="fr-BE"/>
        </w:rPr>
        <w:t xml:space="preserve"> dos </w:t>
      </w:r>
      <w:proofErr w:type="spellStart"/>
      <w:r w:rsidR="00016963" w:rsidRPr="00A37F5E">
        <w:rPr>
          <w:rFonts w:ascii="Times New Roman" w:hAnsi="Times New Roman" w:cs="Times New Roman"/>
          <w:i/>
          <w:lang w:val="fr-BE"/>
        </w:rPr>
        <w:t>Juízes</w:t>
      </w:r>
      <w:proofErr w:type="spellEnd"/>
      <w:r w:rsidR="00016963" w:rsidRPr="00A37F5E">
        <w:rPr>
          <w:rFonts w:ascii="Times New Roman" w:hAnsi="Times New Roman" w:cs="Times New Roman"/>
          <w:i/>
          <w:lang w:val="fr-BE"/>
        </w:rPr>
        <w:t xml:space="preserve"> </w:t>
      </w:r>
      <w:proofErr w:type="spellStart"/>
      <w:r w:rsidR="00016963" w:rsidRPr="00A37F5E">
        <w:rPr>
          <w:rFonts w:ascii="Times New Roman" w:hAnsi="Times New Roman" w:cs="Times New Roman"/>
          <w:i/>
          <w:lang w:val="fr-BE"/>
        </w:rPr>
        <w:t>Portugueses</w:t>
      </w:r>
      <w:proofErr w:type="spellEnd"/>
      <w:r w:rsidR="00016963" w:rsidRPr="00A37F5E">
        <w:rPr>
          <w:rFonts w:ascii="Times New Roman" w:hAnsi="Times New Roman" w:cs="Times New Roman"/>
          <w:lang w:val="fr-BE"/>
        </w:rPr>
        <w:t xml:space="preserve">, EU:C:2018:117; </w:t>
      </w:r>
      <w:r w:rsidR="009659F7" w:rsidRPr="00A37F5E">
        <w:rPr>
          <w:rFonts w:ascii="Times New Roman" w:hAnsi="Times New Roman" w:cs="Times New Roman"/>
          <w:lang w:val="fr-BE"/>
        </w:rPr>
        <w:t xml:space="preserve">Case C-49/18, </w:t>
      </w:r>
      <w:proofErr w:type="spellStart"/>
      <w:r w:rsidR="009659F7" w:rsidRPr="00A37F5E">
        <w:rPr>
          <w:rFonts w:ascii="Times New Roman" w:hAnsi="Times New Roman" w:cs="Times New Roman"/>
          <w:i/>
          <w:lang w:val="fr-BE"/>
        </w:rPr>
        <w:t>Escribano</w:t>
      </w:r>
      <w:proofErr w:type="spellEnd"/>
      <w:r w:rsidR="009659F7" w:rsidRPr="00A37F5E">
        <w:rPr>
          <w:rFonts w:ascii="Times New Roman" w:hAnsi="Times New Roman" w:cs="Times New Roman"/>
          <w:i/>
          <w:lang w:val="fr-BE"/>
        </w:rPr>
        <w:t xml:space="preserve"> </w:t>
      </w:r>
      <w:proofErr w:type="spellStart"/>
      <w:r w:rsidR="009659F7" w:rsidRPr="00A37F5E">
        <w:rPr>
          <w:rFonts w:ascii="Times New Roman" w:hAnsi="Times New Roman" w:cs="Times New Roman"/>
          <w:i/>
          <w:lang w:val="fr-BE"/>
        </w:rPr>
        <w:t>Vindel</w:t>
      </w:r>
      <w:proofErr w:type="spellEnd"/>
      <w:r w:rsidR="009659F7" w:rsidRPr="00A37F5E">
        <w:rPr>
          <w:rFonts w:ascii="Times New Roman" w:hAnsi="Times New Roman" w:cs="Times New Roman"/>
          <w:lang w:val="fr-BE"/>
        </w:rPr>
        <w:t xml:space="preserve">, EU:C:2019:106; </w:t>
      </w:r>
      <w:r w:rsidR="00016963" w:rsidRPr="00A37F5E">
        <w:rPr>
          <w:rFonts w:ascii="Times New Roman" w:hAnsi="Times New Roman" w:cs="Times New Roman"/>
          <w:lang w:val="fr-BE"/>
        </w:rPr>
        <w:t xml:space="preserve">Case C-619/18, </w:t>
      </w:r>
      <w:r w:rsidR="00016963" w:rsidRPr="00A37F5E">
        <w:rPr>
          <w:rFonts w:ascii="Times New Roman" w:hAnsi="Times New Roman" w:cs="Times New Roman"/>
          <w:i/>
          <w:lang w:val="fr-BE"/>
        </w:rPr>
        <w:t xml:space="preserve">Commission </w:t>
      </w:r>
      <w:r w:rsidR="00016963" w:rsidRPr="00A37F5E">
        <w:rPr>
          <w:rFonts w:ascii="Times New Roman" w:hAnsi="Times New Roman" w:cs="Times New Roman"/>
          <w:lang w:val="fr-BE"/>
        </w:rPr>
        <w:t xml:space="preserve">v. </w:t>
      </w:r>
      <w:proofErr w:type="spellStart"/>
      <w:r w:rsidR="00016963" w:rsidRPr="00A37F5E">
        <w:rPr>
          <w:rFonts w:ascii="Times New Roman" w:hAnsi="Times New Roman" w:cs="Times New Roman"/>
          <w:i/>
          <w:lang w:val="fr-BE"/>
        </w:rPr>
        <w:t>Poland</w:t>
      </w:r>
      <w:proofErr w:type="spellEnd"/>
      <w:r w:rsidR="00016963" w:rsidRPr="00A37F5E">
        <w:rPr>
          <w:rFonts w:ascii="Times New Roman" w:hAnsi="Times New Roman" w:cs="Times New Roman"/>
          <w:i/>
          <w:lang w:val="fr-BE"/>
        </w:rPr>
        <w:t xml:space="preserve"> (Indépendance de la Cour suprême</w:t>
      </w:r>
      <w:r w:rsidR="00AB06BF" w:rsidRPr="00A37F5E">
        <w:rPr>
          <w:rFonts w:ascii="Times New Roman" w:hAnsi="Times New Roman" w:cs="Times New Roman"/>
          <w:i/>
          <w:lang w:val="fr-BE"/>
        </w:rPr>
        <w:t>)</w:t>
      </w:r>
      <w:r w:rsidR="00016963" w:rsidRPr="00A37F5E">
        <w:rPr>
          <w:rFonts w:ascii="Times New Roman" w:hAnsi="Times New Roman" w:cs="Times New Roman"/>
          <w:lang w:val="fr-BE"/>
        </w:rPr>
        <w:t xml:space="preserve">; Case C-192/18, </w:t>
      </w:r>
      <w:r w:rsidR="00016963" w:rsidRPr="00A37F5E">
        <w:rPr>
          <w:rFonts w:ascii="Times New Roman" w:hAnsi="Times New Roman" w:cs="Times New Roman"/>
          <w:i/>
          <w:lang w:val="fr-BE"/>
        </w:rPr>
        <w:t xml:space="preserve">Commission </w:t>
      </w:r>
      <w:r w:rsidR="00016963" w:rsidRPr="00A37F5E">
        <w:rPr>
          <w:rFonts w:ascii="Times New Roman" w:hAnsi="Times New Roman" w:cs="Times New Roman"/>
          <w:lang w:val="fr-BE"/>
        </w:rPr>
        <w:t xml:space="preserve">v. </w:t>
      </w:r>
      <w:proofErr w:type="spellStart"/>
      <w:r w:rsidR="00016963" w:rsidRPr="00A37F5E">
        <w:rPr>
          <w:rFonts w:ascii="Times New Roman" w:hAnsi="Times New Roman" w:cs="Times New Roman"/>
          <w:i/>
          <w:lang w:val="fr-BE"/>
        </w:rPr>
        <w:t>Poland</w:t>
      </w:r>
      <w:proofErr w:type="spellEnd"/>
      <w:r w:rsidR="00016963" w:rsidRPr="00A37F5E">
        <w:rPr>
          <w:rFonts w:ascii="Times New Roman" w:hAnsi="Times New Roman" w:cs="Times New Roman"/>
          <w:i/>
          <w:lang w:val="fr-BE"/>
        </w:rPr>
        <w:t xml:space="preserve"> (Indépendance des </w:t>
      </w:r>
      <w:r w:rsidR="00AB06BF" w:rsidRPr="00A37F5E">
        <w:rPr>
          <w:rFonts w:ascii="Times New Roman" w:hAnsi="Times New Roman" w:cs="Times New Roman"/>
          <w:i/>
          <w:lang w:val="fr-BE"/>
        </w:rPr>
        <w:t>juridictions</w:t>
      </w:r>
      <w:r w:rsidR="00016963" w:rsidRPr="00A37F5E">
        <w:rPr>
          <w:rFonts w:ascii="Times New Roman" w:hAnsi="Times New Roman" w:cs="Times New Roman"/>
          <w:i/>
          <w:lang w:val="fr-BE"/>
        </w:rPr>
        <w:t xml:space="preserve"> de droit commun)</w:t>
      </w:r>
      <w:r w:rsidR="00016963" w:rsidRPr="00A37F5E">
        <w:rPr>
          <w:rFonts w:ascii="Times New Roman" w:hAnsi="Times New Roman" w:cs="Times New Roman"/>
          <w:lang w:val="fr-BE"/>
        </w:rPr>
        <w:t>, EU:C:2019:924.</w:t>
      </w:r>
    </w:p>
  </w:footnote>
  <w:footnote w:id="69">
    <w:p w14:paraId="0DF9607F" w14:textId="3D8C7770"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for an author making a similar argument: Torres Pérez, “From Portugal to Poland: The Court of Justice of the European Union as watchdo</w:t>
      </w:r>
      <w:r w:rsidR="00016963" w:rsidRPr="00A37F5E">
        <w:rPr>
          <w:rFonts w:ascii="Times New Roman" w:hAnsi="Times New Roman" w:cs="Times New Roman"/>
          <w:lang w:val="en-GB"/>
        </w:rPr>
        <w:t>g of judicial independence”, 27 MJ</w:t>
      </w:r>
      <w:r w:rsidRPr="00A37F5E">
        <w:rPr>
          <w:rFonts w:ascii="Times New Roman" w:hAnsi="Times New Roman" w:cs="Times New Roman"/>
          <w:color w:val="FF0000"/>
          <w:lang w:val="en-GB"/>
        </w:rPr>
        <w:t xml:space="preserve"> </w:t>
      </w:r>
      <w:r w:rsidRPr="00A37F5E">
        <w:rPr>
          <w:rFonts w:ascii="Times New Roman" w:hAnsi="Times New Roman" w:cs="Times New Roman"/>
          <w:lang w:val="en-GB"/>
        </w:rPr>
        <w:t>(2020),</w:t>
      </w:r>
      <w:r w:rsidR="003219F7" w:rsidRPr="00A37F5E">
        <w:rPr>
          <w:rFonts w:ascii="Times New Roman" w:hAnsi="Times New Roman" w:cs="Times New Roman"/>
          <w:lang w:val="en-GB"/>
        </w:rPr>
        <w:t xml:space="preserve"> pp. 105-119, at</w:t>
      </w:r>
      <w:r w:rsidRPr="00A37F5E">
        <w:rPr>
          <w:rFonts w:ascii="Times New Roman" w:hAnsi="Times New Roman" w:cs="Times New Roman"/>
          <w:lang w:val="en-GB"/>
        </w:rPr>
        <w:t xml:space="preserve"> p. 111.</w:t>
      </w:r>
      <w:r w:rsidR="00EB3C8A" w:rsidRPr="00A37F5E">
        <w:rPr>
          <w:rFonts w:ascii="Times New Roman" w:hAnsi="Times New Roman" w:cs="Times New Roman"/>
          <w:lang w:val="en-GB"/>
        </w:rPr>
        <w:t xml:space="preserve"> </w:t>
      </w:r>
      <w:proofErr w:type="spellStart"/>
      <w:r w:rsidR="00EB3C8A" w:rsidRPr="00A37F5E">
        <w:rPr>
          <w:rFonts w:ascii="Times New Roman" w:hAnsi="Times New Roman" w:cs="Times New Roman"/>
          <w:lang w:val="fr-BE"/>
        </w:rPr>
        <w:t>See</w:t>
      </w:r>
      <w:proofErr w:type="spellEnd"/>
      <w:r w:rsidR="00EB3C8A" w:rsidRPr="00A37F5E">
        <w:rPr>
          <w:rFonts w:ascii="Times New Roman" w:hAnsi="Times New Roman" w:cs="Times New Roman"/>
          <w:lang w:val="fr-BE"/>
        </w:rPr>
        <w:t xml:space="preserve"> </w:t>
      </w:r>
      <w:proofErr w:type="spellStart"/>
      <w:r w:rsidR="00EB3C8A" w:rsidRPr="00A37F5E">
        <w:rPr>
          <w:rFonts w:ascii="Times New Roman" w:hAnsi="Times New Roman" w:cs="Times New Roman"/>
          <w:lang w:val="fr-BE"/>
        </w:rPr>
        <w:t>also</w:t>
      </w:r>
      <w:proofErr w:type="spellEnd"/>
      <w:r w:rsidR="00EB3C8A" w:rsidRPr="00A37F5E">
        <w:rPr>
          <w:rFonts w:ascii="Times New Roman" w:hAnsi="Times New Roman" w:cs="Times New Roman"/>
          <w:lang w:val="fr-BE"/>
        </w:rPr>
        <w:t xml:space="preserve">: </w:t>
      </w:r>
      <w:proofErr w:type="spellStart"/>
      <w:r w:rsidR="00EB3C8A" w:rsidRPr="00A37F5E">
        <w:rPr>
          <w:rFonts w:ascii="Times New Roman" w:hAnsi="Times New Roman" w:cs="Times New Roman"/>
          <w:lang w:val="fr-BE"/>
        </w:rPr>
        <w:t>Rizcallah</w:t>
      </w:r>
      <w:proofErr w:type="spellEnd"/>
      <w:r w:rsidR="00EB3C8A" w:rsidRPr="00A37F5E">
        <w:rPr>
          <w:rFonts w:ascii="Times New Roman" w:hAnsi="Times New Roman" w:cs="Times New Roman"/>
          <w:lang w:val="fr-BE"/>
        </w:rPr>
        <w:t xml:space="preserve"> and </w:t>
      </w:r>
      <w:proofErr w:type="spellStart"/>
      <w:r w:rsidR="00EB3C8A" w:rsidRPr="00A37F5E">
        <w:rPr>
          <w:rFonts w:ascii="Times New Roman" w:hAnsi="Times New Roman" w:cs="Times New Roman"/>
          <w:lang w:val="fr-BE"/>
        </w:rPr>
        <w:t>Davio</w:t>
      </w:r>
      <w:proofErr w:type="spellEnd"/>
      <w:r w:rsidR="00EB3C8A" w:rsidRPr="00A37F5E">
        <w:rPr>
          <w:rFonts w:ascii="Times New Roman" w:hAnsi="Times New Roman" w:cs="Times New Roman"/>
          <w:lang w:val="fr-BE"/>
        </w:rPr>
        <w:t>, “L’article 19 du Traité sur l’Union européenne</w:t>
      </w:r>
      <w:r w:rsidR="009E02F2" w:rsidRPr="00A37F5E">
        <w:rPr>
          <w:rFonts w:ascii="Times New Roman" w:hAnsi="Times New Roman" w:cs="Times New Roman"/>
          <w:lang w:val="fr-BE"/>
        </w:rPr>
        <w:t>:</w:t>
      </w:r>
      <w:r w:rsidR="00EB3C8A" w:rsidRPr="00A37F5E">
        <w:rPr>
          <w:rFonts w:ascii="Times New Roman" w:hAnsi="Times New Roman" w:cs="Times New Roman"/>
          <w:lang w:val="fr-BE"/>
        </w:rPr>
        <w:t xml:space="preserve"> sésame de l’Union de droit”</w:t>
      </w:r>
      <w:r w:rsidR="009E02F2" w:rsidRPr="00A37F5E">
        <w:rPr>
          <w:rFonts w:ascii="Times New Roman" w:hAnsi="Times New Roman" w:cs="Times New Roman"/>
          <w:lang w:val="fr-BE"/>
        </w:rPr>
        <w:t xml:space="preserve">, 31 </w:t>
      </w:r>
      <w:r w:rsidR="009E02F2" w:rsidRPr="00A37F5E">
        <w:rPr>
          <w:rFonts w:ascii="Times New Roman" w:hAnsi="Times New Roman" w:cs="Times New Roman"/>
          <w:i/>
          <w:lang w:val="fr-BE"/>
        </w:rPr>
        <w:t>Revue Trimestrielle des Droits de l’Homme</w:t>
      </w:r>
      <w:r w:rsidR="009E02F2" w:rsidRPr="00A37F5E">
        <w:rPr>
          <w:rFonts w:ascii="Times New Roman" w:hAnsi="Times New Roman" w:cs="Times New Roman"/>
          <w:lang w:val="fr-BE"/>
        </w:rPr>
        <w:t xml:space="preserve"> (2020), pp</w:t>
      </w:r>
      <w:r w:rsidR="00151D9C" w:rsidRPr="00A37F5E">
        <w:rPr>
          <w:rFonts w:ascii="Times New Roman" w:hAnsi="Times New Roman" w:cs="Times New Roman"/>
          <w:lang w:val="fr-BE"/>
        </w:rPr>
        <w:t>. 156-187, at</w:t>
      </w:r>
      <w:r w:rsidR="00B90E97">
        <w:rPr>
          <w:rFonts w:ascii="Times New Roman" w:hAnsi="Times New Roman" w:cs="Times New Roman"/>
          <w:lang w:val="fr-BE"/>
        </w:rPr>
        <w:t xml:space="preserve"> pp.</w:t>
      </w:r>
      <w:r w:rsidR="00151D9C" w:rsidRPr="00A37F5E">
        <w:rPr>
          <w:rFonts w:ascii="Times New Roman" w:hAnsi="Times New Roman" w:cs="Times New Roman"/>
          <w:lang w:val="fr-BE"/>
        </w:rPr>
        <w:t xml:space="preserve"> 178-181.</w:t>
      </w:r>
    </w:p>
  </w:footnote>
  <w:footnote w:id="70">
    <w:p w14:paraId="41942813" w14:textId="477B9DAA"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C-64/16, </w:t>
      </w:r>
      <w:proofErr w:type="spellStart"/>
      <w:r w:rsidRPr="00A37F5E">
        <w:rPr>
          <w:rFonts w:ascii="Times New Roman" w:hAnsi="Times New Roman" w:cs="Times New Roman"/>
          <w:i/>
          <w:lang w:val="fr-BE"/>
        </w:rPr>
        <w:t>Associação</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Sindical</w:t>
      </w:r>
      <w:proofErr w:type="spellEnd"/>
      <w:r w:rsidRPr="00A37F5E">
        <w:rPr>
          <w:rFonts w:ascii="Times New Roman" w:hAnsi="Times New Roman" w:cs="Times New Roman"/>
          <w:i/>
          <w:lang w:val="fr-BE"/>
        </w:rPr>
        <w:t xml:space="preserve"> dos </w:t>
      </w:r>
      <w:proofErr w:type="spellStart"/>
      <w:r w:rsidRPr="00A37F5E">
        <w:rPr>
          <w:rFonts w:ascii="Times New Roman" w:hAnsi="Times New Roman" w:cs="Times New Roman"/>
          <w:i/>
          <w:lang w:val="fr-BE"/>
        </w:rPr>
        <w:t>Juízes</w:t>
      </w:r>
      <w:proofErr w:type="spellEnd"/>
      <w:r w:rsidRPr="00A37F5E">
        <w:rPr>
          <w:rFonts w:ascii="Times New Roman" w:hAnsi="Times New Roman" w:cs="Times New Roman"/>
          <w:i/>
          <w:lang w:val="fr-BE"/>
        </w:rPr>
        <w:t xml:space="preserve"> </w:t>
      </w:r>
      <w:proofErr w:type="spellStart"/>
      <w:r w:rsidRPr="00A37F5E">
        <w:rPr>
          <w:rFonts w:ascii="Times New Roman" w:hAnsi="Times New Roman" w:cs="Times New Roman"/>
          <w:i/>
          <w:lang w:val="fr-BE"/>
        </w:rPr>
        <w:t>Portugueses</w:t>
      </w:r>
      <w:proofErr w:type="spellEnd"/>
      <w:r w:rsidRPr="00A37F5E">
        <w:rPr>
          <w:rFonts w:ascii="Times New Roman" w:hAnsi="Times New Roman" w:cs="Times New Roman"/>
          <w:lang w:val="fr-BE"/>
        </w:rPr>
        <w:t>, EU:C:2018:117, para 37.</w:t>
      </w:r>
    </w:p>
  </w:footnote>
  <w:footnote w:id="71">
    <w:p w14:paraId="271752EF" w14:textId="4AEA6F2F"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With reference to: Case C-503/15, </w:t>
      </w:r>
      <w:proofErr w:type="spellStart"/>
      <w:r w:rsidRPr="00A37F5E">
        <w:rPr>
          <w:rFonts w:ascii="Times New Roman" w:hAnsi="Times New Roman" w:cs="Times New Roman"/>
          <w:i/>
          <w:lang w:val="en-GB"/>
        </w:rPr>
        <w:t>Margarit</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Panicello</w:t>
      </w:r>
      <w:proofErr w:type="spellEnd"/>
      <w:r w:rsidRPr="00A37F5E">
        <w:rPr>
          <w:rFonts w:ascii="Times New Roman" w:hAnsi="Times New Roman" w:cs="Times New Roman"/>
          <w:lang w:val="en-GB"/>
        </w:rPr>
        <w:t>, EU:C:2017:126, para 27.</w:t>
      </w:r>
    </w:p>
  </w:footnote>
  <w:footnote w:id="72">
    <w:p w14:paraId="4FB533F8" w14:textId="21ABDB11"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8F5B10" w:rsidRPr="00A37F5E">
        <w:rPr>
          <w:rFonts w:ascii="Times New Roman" w:hAnsi="Times New Roman" w:cs="Times New Roman"/>
          <w:lang w:val="en-GB"/>
        </w:rPr>
        <w:t>Joined Cases</w:t>
      </w:r>
      <w:r w:rsidRPr="00A37F5E">
        <w:rPr>
          <w:rFonts w:ascii="Times New Roman" w:hAnsi="Times New Roman" w:cs="Times New Roman"/>
          <w:lang w:val="en-GB"/>
        </w:rPr>
        <w:t xml:space="preserve"> C-542/18 RX-II and C-543/18 RX-II,</w:t>
      </w:r>
      <w:r w:rsidRPr="00A37F5E">
        <w:rPr>
          <w:rFonts w:ascii="Times New Roman" w:hAnsi="Times New Roman" w:cs="Times New Roman"/>
          <w:i/>
          <w:lang w:val="en-GB"/>
        </w:rPr>
        <w:t xml:space="preserve">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w:t>
      </w:r>
      <w:r w:rsidR="00E324B4" w:rsidRPr="00A37F5E">
        <w:rPr>
          <w:rFonts w:ascii="Times New Roman" w:hAnsi="Times New Roman" w:cs="Times New Roman"/>
          <w:i/>
          <w:lang w:val="en-GB"/>
        </w:rPr>
        <w:t>Review</w:t>
      </w:r>
      <w:r w:rsidRPr="00A37F5E">
        <w:rPr>
          <w:rFonts w:ascii="Times New Roman" w:hAnsi="Times New Roman" w:cs="Times New Roman"/>
          <w:i/>
          <w:lang w:val="en-GB"/>
        </w:rPr>
        <w:t xml:space="preserve">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006E1CC4" w:rsidRPr="00A37F5E">
        <w:rPr>
          <w:rFonts w:ascii="Times New Roman" w:hAnsi="Times New Roman" w:cs="Times New Roman"/>
          <w:lang w:val="en-GB"/>
        </w:rPr>
        <w:t>, para 57.</w:t>
      </w:r>
    </w:p>
  </w:footnote>
  <w:footnote w:id="73">
    <w:p w14:paraId="33102BA2" w14:textId="3FBF246F"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The EJC has already held that the right to an independent and impartial tribunal forms part of the essence of the right to effective judicial protection: Case C-216/18 PPU, </w:t>
      </w:r>
      <w:r w:rsidRPr="00A37F5E">
        <w:rPr>
          <w:rFonts w:ascii="Times New Roman" w:hAnsi="Times New Roman" w:cs="Times New Roman"/>
          <w:i/>
          <w:lang w:val="en-GB"/>
        </w:rPr>
        <w:t>Minister for Justice and Equality (</w:t>
      </w:r>
      <w:proofErr w:type="spellStart"/>
      <w:r w:rsidRPr="00A37F5E">
        <w:rPr>
          <w:rFonts w:ascii="Times New Roman" w:hAnsi="Times New Roman" w:cs="Times New Roman"/>
          <w:i/>
          <w:lang w:val="en-GB"/>
        </w:rPr>
        <w:t>Défaillances</w:t>
      </w:r>
      <w:proofErr w:type="spellEnd"/>
      <w:r w:rsidRPr="00A37F5E">
        <w:rPr>
          <w:rFonts w:ascii="Times New Roman" w:hAnsi="Times New Roman" w:cs="Times New Roman"/>
          <w:i/>
          <w:lang w:val="en-GB"/>
        </w:rPr>
        <w:t xml:space="preserve"> du </w:t>
      </w:r>
      <w:proofErr w:type="spellStart"/>
      <w:r w:rsidRPr="00A37F5E">
        <w:rPr>
          <w:rFonts w:ascii="Times New Roman" w:hAnsi="Times New Roman" w:cs="Times New Roman"/>
          <w:i/>
          <w:lang w:val="en-GB"/>
        </w:rPr>
        <w:t>système</w:t>
      </w:r>
      <w:proofErr w:type="spellEnd"/>
      <w:r w:rsidRPr="00A37F5E">
        <w:rPr>
          <w:rFonts w:ascii="Times New Roman" w:hAnsi="Times New Roman" w:cs="Times New Roman"/>
          <w:i/>
          <w:lang w:val="en-GB"/>
        </w:rPr>
        <w:t xml:space="preserve"> </w:t>
      </w:r>
      <w:proofErr w:type="spellStart"/>
      <w:r w:rsidRPr="00A37F5E">
        <w:rPr>
          <w:rFonts w:ascii="Times New Roman" w:hAnsi="Times New Roman" w:cs="Times New Roman"/>
          <w:i/>
          <w:lang w:val="en-GB"/>
        </w:rPr>
        <w:t>judiciaire</w:t>
      </w:r>
      <w:proofErr w:type="spellEnd"/>
      <w:r w:rsidRPr="00A37F5E">
        <w:rPr>
          <w:rFonts w:ascii="Times New Roman" w:hAnsi="Times New Roman" w:cs="Times New Roman"/>
          <w:i/>
          <w:lang w:val="en-GB"/>
        </w:rPr>
        <w:t>)</w:t>
      </w:r>
      <w:r w:rsidRPr="00A37F5E">
        <w:rPr>
          <w:rFonts w:ascii="Times New Roman" w:hAnsi="Times New Roman" w:cs="Times New Roman"/>
          <w:lang w:val="en-GB"/>
        </w:rPr>
        <w:t xml:space="preserve">, EU:C:2018:586, para 63. See for this link between the two aspects also the Opinion of AG </w:t>
      </w:r>
      <w:proofErr w:type="spellStart"/>
      <w:r w:rsidRPr="00A37F5E">
        <w:rPr>
          <w:rFonts w:ascii="Times New Roman" w:hAnsi="Times New Roman" w:cs="Times New Roman"/>
          <w:lang w:val="en-GB"/>
        </w:rPr>
        <w:t>Tanchev</w:t>
      </w:r>
      <w:proofErr w:type="spellEnd"/>
      <w:r w:rsidRPr="00A37F5E">
        <w:rPr>
          <w:rFonts w:ascii="Times New Roman" w:hAnsi="Times New Roman" w:cs="Times New Roman"/>
          <w:lang w:val="en-GB"/>
        </w:rPr>
        <w:t xml:space="preserve"> in Case C-192/18, </w:t>
      </w:r>
      <w:r w:rsidRPr="00A37F5E">
        <w:rPr>
          <w:rFonts w:ascii="Times New Roman" w:hAnsi="Times New Roman" w:cs="Times New Roman"/>
          <w:i/>
          <w:lang w:val="en-GB"/>
        </w:rPr>
        <w:t xml:space="preserve">Commission </w:t>
      </w:r>
      <w:r w:rsidRPr="00A37F5E">
        <w:rPr>
          <w:rFonts w:ascii="Times New Roman" w:hAnsi="Times New Roman" w:cs="Times New Roman"/>
          <w:lang w:val="en-GB"/>
        </w:rPr>
        <w:t>v</w:t>
      </w:r>
      <w:r w:rsidR="00AC3905" w:rsidRPr="00A37F5E">
        <w:rPr>
          <w:rFonts w:ascii="Times New Roman" w:hAnsi="Times New Roman" w:cs="Times New Roman"/>
          <w:lang w:val="en-GB"/>
        </w:rPr>
        <w:t>.</w:t>
      </w:r>
      <w:r w:rsidRPr="00A37F5E">
        <w:rPr>
          <w:rFonts w:ascii="Times New Roman" w:hAnsi="Times New Roman" w:cs="Times New Roman"/>
          <w:i/>
          <w:lang w:val="en-GB"/>
        </w:rPr>
        <w:t xml:space="preserve"> Poland (</w:t>
      </w:r>
      <w:proofErr w:type="spellStart"/>
      <w:r w:rsidRPr="00A37F5E">
        <w:rPr>
          <w:rFonts w:ascii="Times New Roman" w:hAnsi="Times New Roman" w:cs="Times New Roman"/>
          <w:i/>
          <w:lang w:val="en-GB"/>
        </w:rPr>
        <w:t>Indépendance</w:t>
      </w:r>
      <w:proofErr w:type="spellEnd"/>
      <w:r w:rsidRPr="00A37F5E">
        <w:rPr>
          <w:rFonts w:ascii="Times New Roman" w:hAnsi="Times New Roman" w:cs="Times New Roman"/>
          <w:i/>
          <w:lang w:val="en-GB"/>
        </w:rPr>
        <w:t xml:space="preserve"> des </w:t>
      </w:r>
      <w:proofErr w:type="spellStart"/>
      <w:r w:rsidRPr="00A37F5E">
        <w:rPr>
          <w:rFonts w:ascii="Times New Roman" w:hAnsi="Times New Roman" w:cs="Times New Roman"/>
          <w:i/>
          <w:lang w:val="en-GB"/>
        </w:rPr>
        <w:t>juridictions</w:t>
      </w:r>
      <w:proofErr w:type="spellEnd"/>
      <w:r w:rsidRPr="00A37F5E">
        <w:rPr>
          <w:rFonts w:ascii="Times New Roman" w:hAnsi="Times New Roman" w:cs="Times New Roman"/>
          <w:i/>
          <w:lang w:val="en-GB"/>
        </w:rPr>
        <w:t xml:space="preserve"> de droit </w:t>
      </w:r>
      <w:proofErr w:type="spellStart"/>
      <w:r w:rsidRPr="00A37F5E">
        <w:rPr>
          <w:rFonts w:ascii="Times New Roman" w:hAnsi="Times New Roman" w:cs="Times New Roman"/>
          <w:i/>
          <w:lang w:val="en-GB"/>
        </w:rPr>
        <w:t>commun</w:t>
      </w:r>
      <w:proofErr w:type="spellEnd"/>
      <w:r w:rsidRPr="00A37F5E">
        <w:rPr>
          <w:rFonts w:ascii="Times New Roman" w:hAnsi="Times New Roman" w:cs="Times New Roman"/>
          <w:i/>
          <w:lang w:val="en-GB"/>
        </w:rPr>
        <w:t>)</w:t>
      </w:r>
      <w:r w:rsidRPr="00A37F5E">
        <w:rPr>
          <w:rFonts w:ascii="Times New Roman" w:hAnsi="Times New Roman" w:cs="Times New Roman"/>
          <w:lang w:val="en-GB"/>
        </w:rPr>
        <w:t xml:space="preserve">, EU:C:2019:529, para 97. He argues that there is a constitutional </w:t>
      </w:r>
      <w:proofErr w:type="spellStart"/>
      <w:r w:rsidRPr="00A37F5E">
        <w:rPr>
          <w:rFonts w:ascii="Times New Roman" w:hAnsi="Times New Roman" w:cs="Times New Roman"/>
          <w:lang w:val="en-GB"/>
        </w:rPr>
        <w:t>passerelle</w:t>
      </w:r>
      <w:proofErr w:type="spellEnd"/>
      <w:r w:rsidRPr="00A37F5E">
        <w:rPr>
          <w:rFonts w:ascii="Times New Roman" w:hAnsi="Times New Roman" w:cs="Times New Roman"/>
          <w:lang w:val="en-GB"/>
        </w:rPr>
        <w:t xml:space="preserve"> between Article 47 of the Charter and Article 19(1) TEU, given that these same sources are relevant to determining the content of the right to ‘an independent and impartial tribunal previously established by Law’ under Article 47 of the Charter.</w:t>
      </w:r>
    </w:p>
  </w:footnote>
  <w:footnote w:id="74">
    <w:p w14:paraId="23091FEE" w14:textId="429B6B4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In this sense I do not believe that every aspect of the right to effective judicial protection enshrined in Article 47 of the Charter is protected by Article 19(1)(2) TEU and that the latter might provide an avenue to claim, for example, the violation of the right to a trial within reasonable time outside the scope of Article 51(1) of the Charter, let alone open the door for the application of all Cha</w:t>
      </w:r>
      <w:r w:rsidR="004E720B" w:rsidRPr="00A37F5E">
        <w:rPr>
          <w:rFonts w:ascii="Times New Roman" w:hAnsi="Times New Roman" w:cs="Times New Roman"/>
          <w:lang w:val="en-GB"/>
        </w:rPr>
        <w:t xml:space="preserve">rter rights. See in </w:t>
      </w:r>
      <w:r w:rsidR="003219F7" w:rsidRPr="00A37F5E">
        <w:rPr>
          <w:rFonts w:ascii="Times New Roman" w:hAnsi="Times New Roman" w:cs="Times New Roman"/>
          <w:lang w:val="en-GB"/>
        </w:rPr>
        <w:t>such</w:t>
      </w:r>
      <w:r w:rsidR="004E720B" w:rsidRPr="00A37F5E">
        <w:rPr>
          <w:rFonts w:ascii="Times New Roman" w:hAnsi="Times New Roman" w:cs="Times New Roman"/>
          <w:lang w:val="en-GB"/>
        </w:rPr>
        <w:t xml:space="preserve"> sense:</w:t>
      </w:r>
      <w:r w:rsidRPr="00A37F5E">
        <w:rPr>
          <w:rFonts w:ascii="Times New Roman" w:hAnsi="Times New Roman" w:cs="Times New Roman"/>
          <w:lang w:val="en-GB"/>
        </w:rPr>
        <w:t xml:space="preserve"> Torres Pérez, </w:t>
      </w:r>
      <w:r w:rsidR="008157C6" w:rsidRPr="00A37F5E">
        <w:rPr>
          <w:rFonts w:ascii="Times New Roman" w:hAnsi="Times New Roman" w:cs="Times New Roman"/>
          <w:lang w:val="en-GB"/>
        </w:rPr>
        <w:t xml:space="preserve">op. cit. </w:t>
      </w:r>
      <w:r w:rsidR="008157C6" w:rsidRPr="00A37F5E">
        <w:rPr>
          <w:rFonts w:ascii="Times New Roman" w:hAnsi="Times New Roman" w:cs="Times New Roman"/>
          <w:i/>
          <w:lang w:val="en-GB"/>
        </w:rPr>
        <w:t xml:space="preserve">supra </w:t>
      </w:r>
      <w:r w:rsidR="008157C6" w:rsidRPr="00A37F5E">
        <w:rPr>
          <w:rFonts w:ascii="Times New Roman" w:hAnsi="Times New Roman" w:cs="Times New Roman"/>
          <w:lang w:val="en-GB"/>
        </w:rPr>
        <w:t xml:space="preserve">note </w:t>
      </w:r>
      <w:r w:rsidR="00226B2A">
        <w:rPr>
          <w:rFonts w:ascii="Times New Roman" w:hAnsi="Times New Roman" w:cs="Times New Roman"/>
          <w:lang w:val="en-GB"/>
        </w:rPr>
        <w:t>69</w:t>
      </w:r>
      <w:r w:rsidR="008157C6" w:rsidRPr="00A37F5E">
        <w:rPr>
          <w:rFonts w:ascii="Times New Roman" w:hAnsi="Times New Roman" w:cs="Times New Roman"/>
          <w:lang w:val="en-GB"/>
        </w:rPr>
        <w:t xml:space="preserve">, at pp. </w:t>
      </w:r>
      <w:r w:rsidRPr="00A37F5E">
        <w:rPr>
          <w:rFonts w:ascii="Times New Roman" w:hAnsi="Times New Roman" w:cs="Times New Roman"/>
          <w:lang w:val="en-GB"/>
        </w:rPr>
        <w:t>115-119.</w:t>
      </w:r>
    </w:p>
  </w:footnote>
  <w:footnote w:id="75">
    <w:p w14:paraId="1F0F2CBA" w14:textId="3F47C8D5" w:rsidR="00151D9C" w:rsidRPr="00A37F5E" w:rsidRDefault="00151D9C"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also: </w:t>
      </w:r>
      <w:proofErr w:type="spellStart"/>
      <w:r w:rsidRPr="00A37F5E">
        <w:rPr>
          <w:rFonts w:ascii="Times New Roman" w:hAnsi="Times New Roman" w:cs="Times New Roman"/>
          <w:lang w:val="en-GB"/>
        </w:rPr>
        <w:t>Rizcallah</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Davio</w:t>
      </w:r>
      <w:proofErr w:type="spellEnd"/>
      <w:r w:rsidRPr="00A37F5E">
        <w:rPr>
          <w:rFonts w:ascii="Times New Roman" w:hAnsi="Times New Roman" w:cs="Times New Roman"/>
          <w:lang w:val="en-GB"/>
        </w:rPr>
        <w:t xml:space="preserve">, </w:t>
      </w:r>
      <w:r w:rsidR="008157C6" w:rsidRPr="00A37F5E">
        <w:rPr>
          <w:rFonts w:ascii="Times New Roman" w:hAnsi="Times New Roman" w:cs="Times New Roman"/>
          <w:lang w:val="en-GB"/>
        </w:rPr>
        <w:t xml:space="preserve">op. cit. </w:t>
      </w:r>
      <w:r w:rsidR="008157C6" w:rsidRPr="00A37F5E">
        <w:rPr>
          <w:rFonts w:ascii="Times New Roman" w:hAnsi="Times New Roman" w:cs="Times New Roman"/>
          <w:i/>
          <w:lang w:val="en-GB"/>
        </w:rPr>
        <w:t>supra</w:t>
      </w:r>
      <w:r w:rsidR="008157C6" w:rsidRPr="00A37F5E">
        <w:rPr>
          <w:rFonts w:ascii="Times New Roman" w:hAnsi="Times New Roman" w:cs="Times New Roman"/>
          <w:lang w:val="en-GB"/>
        </w:rPr>
        <w:t xml:space="preserve"> note </w:t>
      </w:r>
      <w:r w:rsidR="00991CC9">
        <w:rPr>
          <w:rFonts w:ascii="Times New Roman" w:hAnsi="Times New Roman" w:cs="Times New Roman"/>
          <w:lang w:val="en-GB"/>
        </w:rPr>
        <w:t>69</w:t>
      </w:r>
      <w:r w:rsidRPr="00A37F5E">
        <w:rPr>
          <w:rFonts w:ascii="Times New Roman" w:hAnsi="Times New Roman" w:cs="Times New Roman"/>
          <w:lang w:val="en-GB"/>
        </w:rPr>
        <w:t>, at 178-181 and 185. They hold that Article 19(1)(2) TEU enshrines, from an institutional point of view, the essence of the right to effective judicial protection. It would offer a safeguard</w:t>
      </w:r>
      <w:r w:rsidR="00660EE7" w:rsidRPr="00A37F5E">
        <w:rPr>
          <w:rFonts w:ascii="Times New Roman" w:hAnsi="Times New Roman" w:cs="Times New Roman"/>
          <w:lang w:val="en-GB"/>
        </w:rPr>
        <w:t xml:space="preserve"> against measures that</w:t>
      </w:r>
      <w:r w:rsidRPr="00A37F5E">
        <w:rPr>
          <w:rFonts w:ascii="Times New Roman" w:hAnsi="Times New Roman" w:cs="Times New Roman"/>
          <w:lang w:val="en-GB"/>
        </w:rPr>
        <w:t xml:space="preserve"> structurally affect </w:t>
      </w:r>
      <w:r w:rsidR="00660EE7" w:rsidRPr="00A37F5E">
        <w:rPr>
          <w:rFonts w:ascii="Times New Roman" w:hAnsi="Times New Roman" w:cs="Times New Roman"/>
          <w:lang w:val="en-GB"/>
        </w:rPr>
        <w:t>this right</w:t>
      </w:r>
      <w:r w:rsidRPr="00A37F5E">
        <w:rPr>
          <w:rFonts w:ascii="Times New Roman" w:hAnsi="Times New Roman" w:cs="Times New Roman"/>
          <w:lang w:val="en-GB"/>
        </w:rPr>
        <w:t xml:space="preserve">. </w:t>
      </w:r>
      <w:r w:rsidR="003219F7" w:rsidRPr="00A37F5E">
        <w:rPr>
          <w:rFonts w:ascii="Times New Roman" w:hAnsi="Times New Roman" w:cs="Times New Roman"/>
          <w:lang w:val="en-GB"/>
        </w:rPr>
        <w:t>However, t</w:t>
      </w:r>
      <w:r w:rsidR="00B636AE" w:rsidRPr="00A37F5E">
        <w:rPr>
          <w:rFonts w:ascii="Times New Roman" w:hAnsi="Times New Roman" w:cs="Times New Roman"/>
          <w:lang w:val="en-GB"/>
        </w:rPr>
        <w:t xml:space="preserve">hey do not </w:t>
      </w:r>
      <w:r w:rsidR="003219F7" w:rsidRPr="00A37F5E">
        <w:rPr>
          <w:rFonts w:ascii="Times New Roman" w:hAnsi="Times New Roman" w:cs="Times New Roman"/>
          <w:lang w:val="en-GB"/>
        </w:rPr>
        <w:t>explain</w:t>
      </w:r>
      <w:r w:rsidR="00B636AE" w:rsidRPr="00A37F5E">
        <w:rPr>
          <w:rFonts w:ascii="Times New Roman" w:hAnsi="Times New Roman" w:cs="Times New Roman"/>
          <w:lang w:val="en-GB"/>
        </w:rPr>
        <w:t xml:space="preserve"> what this essence might </w:t>
      </w:r>
      <w:r w:rsidR="003219F7" w:rsidRPr="00A37F5E">
        <w:rPr>
          <w:rFonts w:ascii="Times New Roman" w:hAnsi="Times New Roman" w:cs="Times New Roman"/>
          <w:lang w:val="en-GB"/>
        </w:rPr>
        <w:t>entail</w:t>
      </w:r>
      <w:r w:rsidR="00B636AE" w:rsidRPr="00A37F5E">
        <w:rPr>
          <w:rFonts w:ascii="Times New Roman" w:hAnsi="Times New Roman" w:cs="Times New Roman"/>
          <w:lang w:val="en-GB"/>
        </w:rPr>
        <w:t xml:space="preserve"> besides judicial independence. Nonetheless, it would appear that this view corresponds to what </w:t>
      </w:r>
      <w:r w:rsidR="00B90E97">
        <w:rPr>
          <w:rFonts w:ascii="Times New Roman" w:hAnsi="Times New Roman" w:cs="Times New Roman"/>
          <w:lang w:val="en-GB"/>
        </w:rPr>
        <w:t>I argue</w:t>
      </w:r>
      <w:r w:rsidR="00B636AE" w:rsidRPr="00A37F5E">
        <w:rPr>
          <w:rFonts w:ascii="Times New Roman" w:hAnsi="Times New Roman" w:cs="Times New Roman"/>
          <w:lang w:val="en-GB"/>
        </w:rPr>
        <w:t xml:space="preserve"> here. </w:t>
      </w:r>
    </w:p>
  </w:footnote>
  <w:footnote w:id="76">
    <w:p w14:paraId="5538C852" w14:textId="704B1476"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pending cases C-763/19, C-764/19, C-765/19 and C-487/19</w:t>
      </w:r>
    </w:p>
  </w:footnote>
  <w:footnote w:id="77">
    <w:p w14:paraId="3F1927B6" w14:textId="783E9F39"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It should be noted here that the judgment may also affect the Member States in a more indirect way, by influencing the</w:t>
      </w:r>
      <w:r w:rsidR="008515CB" w:rsidRPr="00A37F5E">
        <w:rPr>
          <w:rFonts w:ascii="Times New Roman" w:hAnsi="Times New Roman" w:cs="Times New Roman"/>
          <w:lang w:val="en-GB"/>
        </w:rPr>
        <w:t xml:space="preserve"> ECtHR’s</w:t>
      </w:r>
      <w:r w:rsidRPr="00A37F5E">
        <w:rPr>
          <w:rFonts w:ascii="Times New Roman" w:hAnsi="Times New Roman" w:cs="Times New Roman"/>
          <w:lang w:val="en-GB"/>
        </w:rPr>
        <w:t xml:space="preserve"> Grand Chamber judgment in the case of </w:t>
      </w:r>
      <w:proofErr w:type="spellStart"/>
      <w:r w:rsidRPr="00A37F5E">
        <w:rPr>
          <w:rFonts w:ascii="Times New Roman" w:hAnsi="Times New Roman" w:cs="Times New Roman"/>
          <w:i/>
          <w:lang w:val="en-GB"/>
        </w:rPr>
        <w:t>Ástráðsson</w:t>
      </w:r>
      <w:proofErr w:type="spellEnd"/>
      <w:r w:rsidRPr="00A37F5E">
        <w:rPr>
          <w:rFonts w:ascii="Times New Roman" w:hAnsi="Times New Roman" w:cs="Times New Roman"/>
          <w:i/>
          <w:lang w:val="en-GB"/>
        </w:rPr>
        <w:t xml:space="preserve">. </w:t>
      </w:r>
      <w:r w:rsidRPr="00A37F5E">
        <w:rPr>
          <w:rFonts w:ascii="Times New Roman" w:hAnsi="Times New Roman" w:cs="Times New Roman"/>
          <w:lang w:val="en-GB"/>
        </w:rPr>
        <w:t xml:space="preserve">Especially after the Grand Chamber of the ECJ accepted the basic premise that the appointment proceedings for judges is </w:t>
      </w:r>
      <w:r w:rsidR="00555059" w:rsidRPr="00A37F5E">
        <w:rPr>
          <w:rFonts w:ascii="Times New Roman" w:hAnsi="Times New Roman" w:cs="Times New Roman"/>
          <w:lang w:val="en-GB"/>
        </w:rPr>
        <w:t>a factor</w:t>
      </w:r>
      <w:r w:rsidRPr="00A37F5E">
        <w:rPr>
          <w:rFonts w:ascii="Times New Roman" w:hAnsi="Times New Roman" w:cs="Times New Roman"/>
          <w:lang w:val="en-GB"/>
        </w:rPr>
        <w:t xml:space="preserve"> for </w:t>
      </w:r>
      <w:r w:rsidR="00555059" w:rsidRPr="00A37F5E">
        <w:rPr>
          <w:rFonts w:ascii="Times New Roman" w:hAnsi="Times New Roman" w:cs="Times New Roman"/>
          <w:lang w:val="en-GB"/>
        </w:rPr>
        <w:t>a court’s</w:t>
      </w:r>
      <w:r w:rsidRPr="00A37F5E">
        <w:rPr>
          <w:rFonts w:ascii="Times New Roman" w:hAnsi="Times New Roman" w:cs="Times New Roman"/>
          <w:lang w:val="en-GB"/>
        </w:rPr>
        <w:t xml:space="preserve"> establishment </w:t>
      </w:r>
      <w:r w:rsidR="00555059" w:rsidRPr="00A37F5E">
        <w:rPr>
          <w:rFonts w:ascii="Times New Roman" w:hAnsi="Times New Roman" w:cs="Times New Roman"/>
          <w:lang w:val="en-GB"/>
        </w:rPr>
        <w:t>by</w:t>
      </w:r>
      <w:r w:rsidRPr="00A37F5E">
        <w:rPr>
          <w:rFonts w:ascii="Times New Roman" w:hAnsi="Times New Roman" w:cs="Times New Roman"/>
          <w:lang w:val="en-GB"/>
        </w:rPr>
        <w:t xml:space="preserve"> law, it seem unlikely that the ECtHR </w:t>
      </w:r>
      <w:r w:rsidR="008515CB" w:rsidRPr="00A37F5E">
        <w:rPr>
          <w:rFonts w:ascii="Times New Roman" w:hAnsi="Times New Roman" w:cs="Times New Roman"/>
          <w:lang w:val="en-GB"/>
        </w:rPr>
        <w:t xml:space="preserve">will </w:t>
      </w:r>
      <w:r w:rsidRPr="00A37F5E">
        <w:rPr>
          <w:rFonts w:ascii="Times New Roman" w:hAnsi="Times New Roman" w:cs="Times New Roman"/>
          <w:lang w:val="en-GB"/>
        </w:rPr>
        <w:t xml:space="preserve">overrule the ordinary chamber on this point. </w:t>
      </w:r>
    </w:p>
  </w:footnote>
  <w:footnote w:id="78">
    <w:p w14:paraId="2382D51C" w14:textId="58FFCDD3"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w:t>
      </w:r>
      <w:r w:rsidR="009646A2" w:rsidRPr="00A37F5E">
        <w:rPr>
          <w:rFonts w:ascii="Times New Roman" w:hAnsi="Times New Roman" w:cs="Times New Roman"/>
          <w:lang w:val="en-GB"/>
        </w:rPr>
        <w:t>Joined Cases C-542/18 RX-II and C-543/18 RX-II,</w:t>
      </w:r>
      <w:r w:rsidR="009646A2" w:rsidRPr="00A37F5E">
        <w:rPr>
          <w:rFonts w:ascii="Times New Roman" w:hAnsi="Times New Roman" w:cs="Times New Roman"/>
          <w:i/>
          <w:lang w:val="en-GB"/>
        </w:rPr>
        <w:t xml:space="preserve"> Review Simpson </w:t>
      </w:r>
      <w:r w:rsidR="009646A2" w:rsidRPr="00A37F5E">
        <w:rPr>
          <w:rFonts w:ascii="Times New Roman" w:hAnsi="Times New Roman" w:cs="Times New Roman"/>
          <w:lang w:val="en-GB"/>
        </w:rPr>
        <w:t>v.</w:t>
      </w:r>
      <w:r w:rsidR="009646A2" w:rsidRPr="00A37F5E">
        <w:rPr>
          <w:rFonts w:ascii="Times New Roman" w:hAnsi="Times New Roman" w:cs="Times New Roman"/>
          <w:i/>
          <w:lang w:val="en-GB"/>
        </w:rPr>
        <w:t xml:space="preserve"> Council and Review HG </w:t>
      </w:r>
      <w:r w:rsidR="009646A2" w:rsidRPr="00A37F5E">
        <w:rPr>
          <w:rFonts w:ascii="Times New Roman" w:hAnsi="Times New Roman" w:cs="Times New Roman"/>
          <w:lang w:val="en-GB"/>
        </w:rPr>
        <w:t>v.</w:t>
      </w:r>
      <w:r w:rsidR="009646A2" w:rsidRPr="00A37F5E">
        <w:rPr>
          <w:rFonts w:ascii="Times New Roman" w:hAnsi="Times New Roman" w:cs="Times New Roman"/>
          <w:i/>
          <w:lang w:val="en-GB"/>
        </w:rPr>
        <w:t xml:space="preserve"> Commission</w:t>
      </w:r>
      <w:r w:rsidR="009646A2" w:rsidRPr="00A37F5E">
        <w:rPr>
          <w:rFonts w:ascii="Times New Roman" w:hAnsi="Times New Roman" w:cs="Times New Roman"/>
          <w:lang w:val="en-GB"/>
        </w:rPr>
        <w:t>, para 57.</w:t>
      </w:r>
    </w:p>
  </w:footnote>
  <w:footnote w:id="79">
    <w:p w14:paraId="7A556E87" w14:textId="0419A059"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more elaborately on this issue</w:t>
      </w:r>
      <w:r w:rsidR="00D9554B">
        <w:rPr>
          <w:rFonts w:ascii="Times New Roman" w:hAnsi="Times New Roman" w:cs="Times New Roman"/>
          <w:lang w:val="en-GB"/>
        </w:rPr>
        <w:t xml:space="preserve"> and with further references</w:t>
      </w:r>
      <w:r w:rsidRPr="00A37F5E">
        <w:rPr>
          <w:rFonts w:ascii="Times New Roman" w:hAnsi="Times New Roman" w:cs="Times New Roman"/>
          <w:lang w:val="en-GB"/>
        </w:rPr>
        <w:t>: Leloup,</w:t>
      </w:r>
      <w:r w:rsidR="00AB06BF" w:rsidRPr="00A37F5E">
        <w:rPr>
          <w:rFonts w:ascii="Times New Roman" w:hAnsi="Times New Roman" w:cs="Times New Roman"/>
          <w:lang w:val="en-GB"/>
        </w:rPr>
        <w:t xml:space="preserve"> op. cit. </w:t>
      </w:r>
      <w:r w:rsidR="00AB06BF" w:rsidRPr="00A37F5E">
        <w:rPr>
          <w:rFonts w:ascii="Times New Roman" w:hAnsi="Times New Roman" w:cs="Times New Roman"/>
          <w:i/>
          <w:lang w:val="en-GB"/>
        </w:rPr>
        <w:t xml:space="preserve">supra </w:t>
      </w:r>
      <w:r w:rsidR="00AB06BF" w:rsidRPr="00A37F5E">
        <w:rPr>
          <w:rFonts w:ascii="Times New Roman" w:hAnsi="Times New Roman" w:cs="Times New Roman"/>
          <w:lang w:val="en-GB"/>
        </w:rPr>
        <w:t xml:space="preserve">note </w:t>
      </w:r>
      <w:r w:rsidR="00991CC9">
        <w:rPr>
          <w:rFonts w:ascii="Times New Roman" w:hAnsi="Times New Roman" w:cs="Times New Roman"/>
          <w:lang w:val="en-GB"/>
        </w:rPr>
        <w:t>56</w:t>
      </w:r>
      <w:r w:rsidR="00AB06BF" w:rsidRPr="00A37F5E">
        <w:rPr>
          <w:rFonts w:ascii="Times New Roman" w:hAnsi="Times New Roman" w:cs="Times New Roman"/>
          <w:lang w:val="en-GB"/>
        </w:rPr>
        <w:t>,</w:t>
      </w:r>
      <w:r w:rsidRPr="00A37F5E">
        <w:rPr>
          <w:rFonts w:ascii="Times New Roman" w:hAnsi="Times New Roman" w:cs="Times New Roman"/>
          <w:lang w:val="en-GB"/>
        </w:rPr>
        <w:t xml:space="preserve"> </w:t>
      </w:r>
      <w:r w:rsidR="006E3B01" w:rsidRPr="00A37F5E">
        <w:rPr>
          <w:rFonts w:ascii="Times New Roman" w:hAnsi="Times New Roman" w:cs="Times New Roman"/>
          <w:lang w:val="en-GB"/>
        </w:rPr>
        <w:t>at pp. 19-24.</w:t>
      </w:r>
    </w:p>
  </w:footnote>
  <w:footnote w:id="80">
    <w:p w14:paraId="5A714A98" w14:textId="7BA10797" w:rsidR="00085855" w:rsidRPr="00A37F5E" w:rsidRDefault="00085855" w:rsidP="00A37F5E">
      <w:pPr>
        <w:pStyle w:val="Voetnoottekst"/>
        <w:jc w:val="both"/>
        <w:rPr>
          <w:rFonts w:ascii="Times New Roman" w:hAnsi="Times New Roman" w:cs="Times New Roman"/>
          <w:lang w:val="fr-BE"/>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Case C-274/14, </w:t>
      </w:r>
      <w:r w:rsidRPr="00A37F5E">
        <w:rPr>
          <w:rFonts w:ascii="Times New Roman" w:hAnsi="Times New Roman" w:cs="Times New Roman"/>
          <w:i/>
          <w:lang w:val="fr-BE"/>
        </w:rPr>
        <w:t>Banco de Santander</w:t>
      </w:r>
      <w:r w:rsidRPr="00A37F5E">
        <w:rPr>
          <w:rFonts w:ascii="Times New Roman" w:hAnsi="Times New Roman" w:cs="Times New Roman"/>
          <w:lang w:val="fr-BE"/>
        </w:rPr>
        <w:t>, EU:C:2020:17.</w:t>
      </w:r>
    </w:p>
  </w:footnote>
  <w:footnote w:id="81">
    <w:p w14:paraId="768756E5" w14:textId="22E26111" w:rsidR="00085855" w:rsidRPr="00A37F5E" w:rsidRDefault="00085855" w:rsidP="00A37F5E">
      <w:pPr>
        <w:pStyle w:val="Voetnoottekst"/>
        <w:jc w:val="both"/>
        <w:rPr>
          <w:rFonts w:ascii="Times New Roman" w:hAnsi="Times New Roman" w:cs="Times New Roman"/>
        </w:rPr>
      </w:pPr>
      <w:r w:rsidRPr="00A37F5E">
        <w:rPr>
          <w:rStyle w:val="Voetnootmarkering"/>
          <w:rFonts w:ascii="Times New Roman" w:hAnsi="Times New Roman" w:cs="Times New Roman"/>
        </w:rPr>
        <w:footnoteRef/>
      </w:r>
      <w:r w:rsidRPr="00A37F5E">
        <w:rPr>
          <w:rFonts w:ascii="Times New Roman" w:hAnsi="Times New Roman" w:cs="Times New Roman"/>
          <w:lang w:val="fr-BE"/>
        </w:rPr>
        <w:t xml:space="preserve"> </w:t>
      </w:r>
      <w:r w:rsidR="009646A2" w:rsidRPr="00A37F5E">
        <w:rPr>
          <w:rFonts w:ascii="Times New Roman" w:hAnsi="Times New Roman" w:cs="Times New Roman"/>
          <w:lang w:val="fr-BE"/>
        </w:rPr>
        <w:t xml:space="preserve">Case C-274/14, </w:t>
      </w:r>
      <w:r w:rsidR="009646A2" w:rsidRPr="00A37F5E">
        <w:rPr>
          <w:rFonts w:ascii="Times New Roman" w:hAnsi="Times New Roman" w:cs="Times New Roman"/>
          <w:i/>
          <w:lang w:val="fr-BE"/>
        </w:rPr>
        <w:t>Banco de Santander</w:t>
      </w:r>
      <w:r w:rsidR="009646A2" w:rsidRPr="00A37F5E">
        <w:rPr>
          <w:rFonts w:ascii="Times New Roman" w:hAnsi="Times New Roman" w:cs="Times New Roman"/>
          <w:lang w:val="fr-BE"/>
        </w:rPr>
        <w:t xml:space="preserve">, paras 56-77. </w:t>
      </w:r>
      <w:r w:rsidRPr="00A37F5E">
        <w:rPr>
          <w:rFonts w:ascii="Times New Roman" w:hAnsi="Times New Roman" w:cs="Times New Roman"/>
        </w:rPr>
        <w:t xml:space="preserve">See </w:t>
      </w:r>
      <w:proofErr w:type="spellStart"/>
      <w:r w:rsidRPr="00A37F5E">
        <w:rPr>
          <w:rFonts w:ascii="Times New Roman" w:hAnsi="Times New Roman" w:cs="Times New Roman"/>
        </w:rPr>
        <w:t>for</w:t>
      </w:r>
      <w:proofErr w:type="spellEnd"/>
      <w:r w:rsidRPr="00A37F5E">
        <w:rPr>
          <w:rFonts w:ascii="Times New Roman" w:hAnsi="Times New Roman" w:cs="Times New Roman"/>
        </w:rPr>
        <w:t xml:space="preserve"> more on </w:t>
      </w:r>
      <w:proofErr w:type="spellStart"/>
      <w:r w:rsidRPr="00A37F5E">
        <w:rPr>
          <w:rFonts w:ascii="Times New Roman" w:hAnsi="Times New Roman" w:cs="Times New Roman"/>
        </w:rPr>
        <w:t>this</w:t>
      </w:r>
      <w:proofErr w:type="spellEnd"/>
      <w:r w:rsidRPr="00A37F5E">
        <w:rPr>
          <w:rFonts w:ascii="Times New Roman" w:hAnsi="Times New Roman" w:cs="Times New Roman"/>
        </w:rPr>
        <w:t xml:space="preserve"> </w:t>
      </w:r>
      <w:proofErr w:type="spellStart"/>
      <w:r w:rsidRPr="00A37F5E">
        <w:rPr>
          <w:rFonts w:ascii="Times New Roman" w:hAnsi="Times New Roman" w:cs="Times New Roman"/>
        </w:rPr>
        <w:t>judgment</w:t>
      </w:r>
      <w:proofErr w:type="spellEnd"/>
      <w:r w:rsidRPr="00A37F5E">
        <w:rPr>
          <w:rFonts w:ascii="Times New Roman" w:hAnsi="Times New Roman" w:cs="Times New Roman"/>
        </w:rPr>
        <w:t xml:space="preserve">: Leloup, “Het arrest Banco de Santander: naar een verstrenging van het onafhankelijkheidsbegrip onder Artikel 267 VWEU?”, (2020) </w:t>
      </w:r>
      <w:r w:rsidR="001341CC" w:rsidRPr="00A37F5E">
        <w:rPr>
          <w:rFonts w:ascii="Times New Roman" w:hAnsi="Times New Roman" w:cs="Times New Roman"/>
        </w:rPr>
        <w:t>SEW</w:t>
      </w:r>
      <w:r w:rsidRPr="00A37F5E">
        <w:rPr>
          <w:rFonts w:ascii="Times New Roman" w:hAnsi="Times New Roman" w:cs="Times New Roman"/>
        </w:rPr>
        <w:t xml:space="preserve">, </w:t>
      </w:r>
      <w:proofErr w:type="spellStart"/>
      <w:r w:rsidRPr="00A37F5E">
        <w:rPr>
          <w:rFonts w:ascii="Times New Roman" w:hAnsi="Times New Roman" w:cs="Times New Roman"/>
        </w:rPr>
        <w:t>forthcoming</w:t>
      </w:r>
      <w:proofErr w:type="spellEnd"/>
      <w:r w:rsidRPr="00A37F5E">
        <w:rPr>
          <w:rFonts w:ascii="Times New Roman" w:hAnsi="Times New Roman" w:cs="Times New Roman"/>
        </w:rPr>
        <w:t>.</w:t>
      </w:r>
    </w:p>
  </w:footnote>
  <w:footnote w:id="82">
    <w:p w14:paraId="1A2284C4" w14:textId="785FE8FD" w:rsidR="00085855" w:rsidRPr="00A37F5E" w:rsidRDefault="00085855"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also: </w:t>
      </w:r>
      <w:proofErr w:type="spellStart"/>
      <w:r w:rsidRPr="00A37F5E">
        <w:rPr>
          <w:rFonts w:ascii="Times New Roman" w:hAnsi="Times New Roman" w:cs="Times New Roman"/>
          <w:lang w:val="en-GB"/>
        </w:rPr>
        <w:t>Lenaerts</w:t>
      </w:r>
      <w:proofErr w:type="spellEnd"/>
      <w:r w:rsidRPr="00A37F5E">
        <w:rPr>
          <w:rFonts w:ascii="Times New Roman" w:hAnsi="Times New Roman" w:cs="Times New Roman"/>
          <w:lang w:val="en-GB"/>
        </w:rPr>
        <w:t xml:space="preserve">, “On Judicial Independence and the Quest for National, Supranational and Transnational Justice” in </w:t>
      </w:r>
      <w:proofErr w:type="spellStart"/>
      <w:r w:rsidRPr="00A37F5E">
        <w:rPr>
          <w:rFonts w:ascii="Times New Roman" w:hAnsi="Times New Roman" w:cs="Times New Roman"/>
          <w:lang w:val="en-GB"/>
        </w:rPr>
        <w:t>Selvik</w:t>
      </w:r>
      <w:proofErr w:type="spellEnd"/>
      <w:r w:rsidRPr="00A37F5E">
        <w:rPr>
          <w:rFonts w:ascii="Times New Roman" w:hAnsi="Times New Roman" w:cs="Times New Roman"/>
          <w:lang w:val="en-GB"/>
        </w:rPr>
        <w:t xml:space="preserve">, Clifton, Haas, </w:t>
      </w:r>
      <w:proofErr w:type="spellStart"/>
      <w:r w:rsidRPr="00A37F5E">
        <w:rPr>
          <w:rFonts w:ascii="Times New Roman" w:hAnsi="Times New Roman" w:cs="Times New Roman"/>
          <w:lang w:val="en-GB"/>
        </w:rPr>
        <w:t>Lourenço</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Schwiesow</w:t>
      </w:r>
      <w:proofErr w:type="spellEnd"/>
      <w:r w:rsidRPr="00A37F5E">
        <w:rPr>
          <w:rFonts w:ascii="Times New Roman" w:hAnsi="Times New Roman" w:cs="Times New Roman"/>
          <w:lang w:val="en-GB"/>
        </w:rPr>
        <w:t xml:space="preserve"> (eds.), </w:t>
      </w:r>
      <w:r w:rsidRPr="00A37F5E">
        <w:rPr>
          <w:rFonts w:ascii="Times New Roman" w:hAnsi="Times New Roman" w:cs="Times New Roman"/>
          <w:i/>
          <w:lang w:val="en-GB"/>
        </w:rPr>
        <w:t>The Art of Judicial Reasoning.</w:t>
      </w:r>
      <w:r w:rsidRPr="00A37F5E">
        <w:rPr>
          <w:rFonts w:ascii="Times New Roman" w:hAnsi="Times New Roman" w:cs="Times New Roman"/>
          <w:lang w:val="en-GB"/>
        </w:rPr>
        <w:t xml:space="preserve"> </w:t>
      </w:r>
      <w:r w:rsidRPr="00A37F5E">
        <w:rPr>
          <w:rFonts w:ascii="Times New Roman" w:hAnsi="Times New Roman" w:cs="Times New Roman"/>
          <w:i/>
          <w:lang w:val="en-GB"/>
        </w:rPr>
        <w:t xml:space="preserve">Festschrift in Honour of Carl </w:t>
      </w:r>
      <w:proofErr w:type="spellStart"/>
      <w:r w:rsidRPr="00A37F5E">
        <w:rPr>
          <w:rFonts w:ascii="Times New Roman" w:hAnsi="Times New Roman" w:cs="Times New Roman"/>
          <w:i/>
          <w:lang w:val="en-GB"/>
        </w:rPr>
        <w:t>Baudenbacher</w:t>
      </w:r>
      <w:proofErr w:type="spellEnd"/>
      <w:r w:rsidRPr="00A37F5E">
        <w:rPr>
          <w:rFonts w:ascii="Times New Roman" w:hAnsi="Times New Roman" w:cs="Times New Roman"/>
          <w:lang w:val="en-GB"/>
        </w:rPr>
        <w:t xml:space="preserve"> (Springer, 2019), pp. 155-174, at</w:t>
      </w:r>
      <w:r w:rsidR="00D9554B">
        <w:rPr>
          <w:rFonts w:ascii="Times New Roman" w:hAnsi="Times New Roman" w:cs="Times New Roman"/>
          <w:lang w:val="en-GB"/>
        </w:rPr>
        <w:t xml:space="preserve"> p.</w:t>
      </w:r>
      <w:r w:rsidRPr="00A37F5E">
        <w:rPr>
          <w:rFonts w:ascii="Times New Roman" w:hAnsi="Times New Roman" w:cs="Times New Roman"/>
          <w:lang w:val="en-GB"/>
        </w:rPr>
        <w:t xml:space="preserve"> 169.</w:t>
      </w:r>
    </w:p>
  </w:footnote>
  <w:footnote w:id="83">
    <w:p w14:paraId="3A785F0F" w14:textId="4B90A131" w:rsidR="00A9084F" w:rsidRPr="008923D6" w:rsidRDefault="00A9084F"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On this: </w:t>
      </w:r>
      <w:proofErr w:type="spellStart"/>
      <w:r w:rsidRPr="00A37F5E">
        <w:rPr>
          <w:rFonts w:ascii="Times New Roman" w:hAnsi="Times New Roman" w:cs="Times New Roman"/>
          <w:lang w:val="en-GB"/>
        </w:rPr>
        <w:t>Sadurski</w:t>
      </w:r>
      <w:proofErr w:type="spellEnd"/>
      <w:r w:rsidRPr="00A37F5E">
        <w:rPr>
          <w:rFonts w:ascii="Times New Roman" w:hAnsi="Times New Roman" w:cs="Times New Roman"/>
          <w:lang w:val="en-GB"/>
        </w:rPr>
        <w:t xml:space="preserve">, </w:t>
      </w:r>
      <w:r w:rsidRPr="00A37F5E">
        <w:rPr>
          <w:rFonts w:ascii="Times New Roman" w:hAnsi="Times New Roman" w:cs="Times New Roman"/>
          <w:i/>
          <w:lang w:val="en-GB"/>
        </w:rPr>
        <w:t>Poland’s Constitutional Breakdown</w:t>
      </w:r>
      <w:r w:rsidRPr="00A37F5E">
        <w:rPr>
          <w:rFonts w:ascii="Times New Roman" w:hAnsi="Times New Roman" w:cs="Times New Roman"/>
          <w:lang w:val="en-GB"/>
        </w:rPr>
        <w:t xml:space="preserve"> (OUP, 2019) pp. 58–95. There is also a case pending before the ECtHR which questions whether the Polish Constitutional Court is still a tribunal established by law: </w:t>
      </w:r>
      <w:r w:rsidRPr="008923D6">
        <w:rPr>
          <w:rFonts w:ascii="Times New Roman" w:hAnsi="Times New Roman" w:cs="Times New Roman"/>
          <w:lang w:val="en-GB"/>
        </w:rPr>
        <w:t xml:space="preserve">ECtHR, </w:t>
      </w:r>
      <w:proofErr w:type="spellStart"/>
      <w:r w:rsidRPr="008923D6">
        <w:rPr>
          <w:rFonts w:ascii="Times New Roman" w:hAnsi="Times New Roman" w:cs="Times New Roman"/>
          <w:i/>
          <w:lang w:val="en-GB"/>
        </w:rPr>
        <w:t>Xero</w:t>
      </w:r>
      <w:proofErr w:type="spellEnd"/>
      <w:r w:rsidRPr="008923D6">
        <w:rPr>
          <w:rFonts w:ascii="Times New Roman" w:hAnsi="Times New Roman" w:cs="Times New Roman"/>
          <w:i/>
          <w:lang w:val="en-GB"/>
        </w:rPr>
        <w:t xml:space="preserve"> Flor W </w:t>
      </w:r>
      <w:proofErr w:type="spellStart"/>
      <w:r w:rsidRPr="008923D6">
        <w:rPr>
          <w:rFonts w:ascii="Times New Roman" w:hAnsi="Times New Roman" w:cs="Times New Roman"/>
          <w:i/>
          <w:lang w:val="en-GB"/>
        </w:rPr>
        <w:t>Polsce</w:t>
      </w:r>
      <w:proofErr w:type="spellEnd"/>
      <w:r w:rsidRPr="008923D6">
        <w:rPr>
          <w:rFonts w:ascii="Times New Roman" w:hAnsi="Times New Roman" w:cs="Times New Roman"/>
          <w:i/>
          <w:lang w:val="en-GB"/>
        </w:rPr>
        <w:t xml:space="preserve"> SP. Z O.O </w:t>
      </w:r>
      <w:r w:rsidRPr="008923D6">
        <w:rPr>
          <w:rFonts w:ascii="Times New Roman" w:hAnsi="Times New Roman" w:cs="Times New Roman"/>
          <w:lang w:val="en-GB"/>
        </w:rPr>
        <w:t xml:space="preserve">v. </w:t>
      </w:r>
      <w:r w:rsidRPr="008923D6">
        <w:rPr>
          <w:rFonts w:ascii="Times New Roman" w:hAnsi="Times New Roman" w:cs="Times New Roman"/>
          <w:i/>
          <w:lang w:val="en-GB"/>
        </w:rPr>
        <w:t>Poland</w:t>
      </w:r>
      <w:r w:rsidRPr="008923D6">
        <w:rPr>
          <w:rFonts w:ascii="Times New Roman" w:hAnsi="Times New Roman" w:cs="Times New Roman"/>
          <w:lang w:val="en-GB"/>
        </w:rPr>
        <w:t xml:space="preserve">, Appl. No. </w:t>
      </w:r>
      <w:r w:rsidR="00B76E35" w:rsidRPr="008923D6">
        <w:rPr>
          <w:rFonts w:ascii="Times New Roman" w:hAnsi="Times New Roman" w:cs="Times New Roman"/>
          <w:lang w:val="en-GB"/>
        </w:rPr>
        <w:t xml:space="preserve">4907/18, communicated on 2 September 2019. </w:t>
      </w:r>
    </w:p>
  </w:footnote>
  <w:footnote w:id="84">
    <w:p w14:paraId="7974C35E" w14:textId="20205345" w:rsidR="008923D6" w:rsidRPr="008923D6" w:rsidRDefault="008923D6" w:rsidP="008923D6">
      <w:pPr>
        <w:pStyle w:val="Voetnoottekst"/>
        <w:jc w:val="both"/>
        <w:rPr>
          <w:lang w:val="en-GB"/>
        </w:rPr>
      </w:pPr>
      <w:r w:rsidRPr="008923D6">
        <w:rPr>
          <w:rStyle w:val="Voetnootmarkering"/>
          <w:rFonts w:ascii="Times New Roman" w:hAnsi="Times New Roman" w:cs="Times New Roman"/>
        </w:rPr>
        <w:footnoteRef/>
      </w:r>
      <w:r w:rsidRPr="008923D6">
        <w:rPr>
          <w:rFonts w:ascii="Times New Roman" w:hAnsi="Times New Roman" w:cs="Times New Roman"/>
          <w:lang w:val="en-GB"/>
        </w:rPr>
        <w:t xml:space="preserve"> Joined</w:t>
      </w:r>
      <w:r w:rsidRPr="00A37F5E">
        <w:rPr>
          <w:rFonts w:ascii="Times New Roman" w:hAnsi="Times New Roman" w:cs="Times New Roman"/>
          <w:lang w:val="en-GB"/>
        </w:rPr>
        <w:t xml:space="preserve"> Cases C-542/18 RX-II and C-543/18 RX-II,</w:t>
      </w:r>
      <w:r w:rsidRPr="00A37F5E">
        <w:rPr>
          <w:rFonts w:ascii="Times New Roman" w:hAnsi="Times New Roman" w:cs="Times New Roman"/>
          <w:i/>
          <w:lang w:val="en-GB"/>
        </w:rPr>
        <w:t xml:space="preserve"> Review Simpson </w:t>
      </w:r>
      <w:r w:rsidRPr="00A37F5E">
        <w:rPr>
          <w:rFonts w:ascii="Times New Roman" w:hAnsi="Times New Roman" w:cs="Times New Roman"/>
          <w:lang w:val="en-GB"/>
        </w:rPr>
        <w:t>v.</w:t>
      </w:r>
      <w:r w:rsidRPr="00A37F5E">
        <w:rPr>
          <w:rFonts w:ascii="Times New Roman" w:hAnsi="Times New Roman" w:cs="Times New Roman"/>
          <w:i/>
          <w:lang w:val="en-GB"/>
        </w:rPr>
        <w:t xml:space="preserve"> Council and Review HG </w:t>
      </w:r>
      <w:r w:rsidRPr="00A37F5E">
        <w:rPr>
          <w:rFonts w:ascii="Times New Roman" w:hAnsi="Times New Roman" w:cs="Times New Roman"/>
          <w:lang w:val="en-GB"/>
        </w:rPr>
        <w:t>v.</w:t>
      </w:r>
      <w:r w:rsidRPr="00A37F5E">
        <w:rPr>
          <w:rFonts w:ascii="Times New Roman" w:hAnsi="Times New Roman" w:cs="Times New Roman"/>
          <w:i/>
          <w:lang w:val="en-GB"/>
        </w:rPr>
        <w:t xml:space="preserve"> Commission</w:t>
      </w:r>
      <w:r w:rsidRPr="00A37F5E">
        <w:rPr>
          <w:rFonts w:ascii="Times New Roman" w:hAnsi="Times New Roman" w:cs="Times New Roman"/>
          <w:lang w:val="en-GB"/>
        </w:rPr>
        <w:t>, para 57.</w:t>
      </w:r>
    </w:p>
  </w:footnote>
  <w:footnote w:id="85">
    <w:p w14:paraId="55F99C03" w14:textId="4974A279" w:rsidR="00BC2342" w:rsidRPr="009F0841" w:rsidRDefault="00BC2342" w:rsidP="009F0841">
      <w:pPr>
        <w:pStyle w:val="Voetnoottekst"/>
        <w:jc w:val="both"/>
        <w:rPr>
          <w:rFonts w:ascii="Times New Roman" w:hAnsi="Times New Roman" w:cs="Times New Roman"/>
          <w:lang w:val="en-GB"/>
        </w:rPr>
      </w:pPr>
      <w:r w:rsidRPr="009F0841">
        <w:rPr>
          <w:rStyle w:val="Voetnootmarkering"/>
          <w:rFonts w:ascii="Times New Roman" w:hAnsi="Times New Roman" w:cs="Times New Roman"/>
        </w:rPr>
        <w:footnoteRef/>
      </w:r>
      <w:r w:rsidRPr="009F0841">
        <w:rPr>
          <w:rFonts w:ascii="Times New Roman" w:hAnsi="Times New Roman" w:cs="Times New Roman"/>
          <w:lang w:val="en-GB"/>
        </w:rPr>
        <w:t xml:space="preserve"> </w:t>
      </w:r>
      <w:r w:rsidR="00E660EB" w:rsidRPr="009F0841">
        <w:rPr>
          <w:rFonts w:ascii="Times New Roman" w:hAnsi="Times New Roman" w:cs="Times New Roman"/>
          <w:lang w:val="en-GB"/>
        </w:rPr>
        <w:t xml:space="preserve">Joined Cases C-585/18, C-524/18 and C-525/18, </w:t>
      </w:r>
      <w:r w:rsidR="00E660EB" w:rsidRPr="009F0841">
        <w:rPr>
          <w:rFonts w:ascii="Times New Roman" w:hAnsi="Times New Roman" w:cs="Times New Roman"/>
          <w:i/>
          <w:lang w:val="en-GB"/>
        </w:rPr>
        <w:t>A. K., CP and DO</w:t>
      </w:r>
      <w:r w:rsidR="00AB10B1">
        <w:rPr>
          <w:rFonts w:ascii="Times New Roman" w:hAnsi="Times New Roman" w:cs="Times New Roman"/>
          <w:lang w:val="en-GB"/>
        </w:rPr>
        <w:t>,</w:t>
      </w:r>
      <w:r w:rsidR="00E660EB" w:rsidRPr="009F0841">
        <w:rPr>
          <w:rFonts w:ascii="Times New Roman" w:hAnsi="Times New Roman" w:cs="Times New Roman"/>
          <w:lang w:val="en-GB"/>
        </w:rPr>
        <w:t xml:space="preserve"> paras </w:t>
      </w:r>
      <w:r w:rsidR="00E660EB">
        <w:rPr>
          <w:rFonts w:ascii="Times New Roman" w:hAnsi="Times New Roman" w:cs="Times New Roman"/>
          <w:lang w:val="en-GB"/>
        </w:rPr>
        <w:t xml:space="preserve">161-166. </w:t>
      </w:r>
      <w:r w:rsidRPr="009F0841">
        <w:rPr>
          <w:rFonts w:ascii="Times New Roman" w:hAnsi="Times New Roman" w:cs="Times New Roman"/>
          <w:lang w:val="en-GB"/>
        </w:rPr>
        <w:t>O</w:t>
      </w:r>
      <w:r w:rsidR="009F0841">
        <w:rPr>
          <w:rFonts w:ascii="Times New Roman" w:hAnsi="Times New Roman" w:cs="Times New Roman"/>
          <w:lang w:val="en-GB"/>
        </w:rPr>
        <w:t xml:space="preserve">n this: </w:t>
      </w:r>
      <w:r w:rsidR="009F0841" w:rsidRPr="00A37F5E">
        <w:rPr>
          <w:rFonts w:ascii="Times New Roman" w:hAnsi="Times New Roman" w:cs="Times New Roman"/>
          <w:lang w:val="en-GB"/>
        </w:rPr>
        <w:t xml:space="preserve">Leloup, op. cit. </w:t>
      </w:r>
      <w:r w:rsidR="009F0841" w:rsidRPr="00A37F5E">
        <w:rPr>
          <w:rFonts w:ascii="Times New Roman" w:hAnsi="Times New Roman" w:cs="Times New Roman"/>
          <w:i/>
          <w:lang w:val="en-GB"/>
        </w:rPr>
        <w:t xml:space="preserve">supra </w:t>
      </w:r>
      <w:r w:rsidR="009F0841" w:rsidRPr="00A37F5E">
        <w:rPr>
          <w:rFonts w:ascii="Times New Roman" w:hAnsi="Times New Roman" w:cs="Times New Roman"/>
          <w:lang w:val="en-GB"/>
        </w:rPr>
        <w:t xml:space="preserve">note </w:t>
      </w:r>
      <w:r w:rsidR="00991CC9">
        <w:rPr>
          <w:rFonts w:ascii="Times New Roman" w:hAnsi="Times New Roman" w:cs="Times New Roman"/>
          <w:lang w:val="en-GB"/>
        </w:rPr>
        <w:t>56</w:t>
      </w:r>
      <w:r w:rsidR="009F0841" w:rsidRPr="00A37F5E">
        <w:rPr>
          <w:rFonts w:ascii="Times New Roman" w:hAnsi="Times New Roman" w:cs="Times New Roman"/>
          <w:lang w:val="en-GB"/>
        </w:rPr>
        <w:t xml:space="preserve">, </w:t>
      </w:r>
      <w:r w:rsidR="009F0841">
        <w:rPr>
          <w:rFonts w:ascii="Times New Roman" w:hAnsi="Times New Roman" w:cs="Times New Roman"/>
          <w:lang w:val="en-GB"/>
        </w:rPr>
        <w:t>at pp. 15-16.</w:t>
      </w:r>
    </w:p>
  </w:footnote>
  <w:footnote w:id="86">
    <w:p w14:paraId="4233066E" w14:textId="1A89E802" w:rsidR="00BC2342" w:rsidRPr="009F0841" w:rsidRDefault="00BC2342" w:rsidP="009F0841">
      <w:pPr>
        <w:pStyle w:val="Voetnoottekst"/>
        <w:jc w:val="both"/>
        <w:rPr>
          <w:rFonts w:ascii="Times New Roman" w:hAnsi="Times New Roman" w:cs="Times New Roman"/>
          <w:lang w:val="en-GB"/>
        </w:rPr>
      </w:pPr>
      <w:r w:rsidRPr="009F0841">
        <w:rPr>
          <w:rStyle w:val="Voetnootmarkering"/>
          <w:rFonts w:ascii="Times New Roman" w:hAnsi="Times New Roman" w:cs="Times New Roman"/>
        </w:rPr>
        <w:footnoteRef/>
      </w:r>
      <w:r w:rsidRPr="009F0841">
        <w:rPr>
          <w:rFonts w:ascii="Times New Roman" w:hAnsi="Times New Roman" w:cs="Times New Roman"/>
          <w:lang w:val="en-GB"/>
        </w:rPr>
        <w:t xml:space="preserve"> </w:t>
      </w:r>
      <w:r w:rsidR="009F0841" w:rsidRPr="009F0841">
        <w:rPr>
          <w:rFonts w:ascii="Times New Roman" w:hAnsi="Times New Roman" w:cs="Times New Roman"/>
          <w:lang w:val="en-GB"/>
        </w:rPr>
        <w:t xml:space="preserve">Joined Cases C-585/18, C-524/18 and C-525/18, </w:t>
      </w:r>
      <w:r w:rsidR="009F0841" w:rsidRPr="009F0841">
        <w:rPr>
          <w:rFonts w:ascii="Times New Roman" w:hAnsi="Times New Roman" w:cs="Times New Roman"/>
          <w:i/>
          <w:lang w:val="en-GB"/>
        </w:rPr>
        <w:t>A. K., CP and DO</w:t>
      </w:r>
      <w:r w:rsidR="00AB10B1">
        <w:rPr>
          <w:rFonts w:ascii="Times New Roman" w:hAnsi="Times New Roman" w:cs="Times New Roman"/>
          <w:lang w:val="en-GB"/>
        </w:rPr>
        <w:t>,</w:t>
      </w:r>
      <w:r w:rsidR="009F0841" w:rsidRPr="009F0841">
        <w:rPr>
          <w:rFonts w:ascii="Times New Roman" w:hAnsi="Times New Roman" w:cs="Times New Roman"/>
          <w:lang w:val="en-GB"/>
        </w:rPr>
        <w:t xml:space="preserve"> paras 16</w:t>
      </w:r>
      <w:r w:rsidR="008E52A5">
        <w:rPr>
          <w:rFonts w:ascii="Times New Roman" w:hAnsi="Times New Roman" w:cs="Times New Roman"/>
          <w:lang w:val="en-GB"/>
        </w:rPr>
        <w:t>2-</w:t>
      </w:r>
      <w:r w:rsidR="009F0841" w:rsidRPr="009F0841">
        <w:rPr>
          <w:rFonts w:ascii="Times New Roman" w:hAnsi="Times New Roman" w:cs="Times New Roman"/>
          <w:lang w:val="en-GB"/>
        </w:rPr>
        <w:t>165.</w:t>
      </w:r>
    </w:p>
  </w:footnote>
  <w:footnote w:id="87">
    <w:p w14:paraId="707EC7F1" w14:textId="73A2428F" w:rsidR="006E3B01" w:rsidRPr="00A37F5E" w:rsidRDefault="006E3B01" w:rsidP="009F0841">
      <w:pPr>
        <w:pStyle w:val="Voetnoottekst"/>
        <w:jc w:val="both"/>
        <w:rPr>
          <w:rFonts w:ascii="Times New Roman" w:hAnsi="Times New Roman" w:cs="Times New Roman"/>
          <w:lang w:val="en-GB"/>
        </w:rPr>
      </w:pPr>
      <w:r w:rsidRPr="009F0841">
        <w:rPr>
          <w:rStyle w:val="Voetnootmarkering"/>
          <w:rFonts w:ascii="Times New Roman" w:hAnsi="Times New Roman" w:cs="Times New Roman"/>
        </w:rPr>
        <w:footnoteRef/>
      </w:r>
      <w:r w:rsidRPr="009F0841">
        <w:rPr>
          <w:rFonts w:ascii="Times New Roman" w:hAnsi="Times New Roman" w:cs="Times New Roman"/>
          <w:lang w:val="en-GB"/>
        </w:rPr>
        <w:t xml:space="preserve"> See dissenting opinion by judges Lemmens and </w:t>
      </w:r>
      <w:proofErr w:type="spellStart"/>
      <w:r w:rsidRPr="009F0841">
        <w:rPr>
          <w:rFonts w:ascii="Times New Roman" w:hAnsi="Times New Roman" w:cs="Times New Roman"/>
          <w:lang w:val="en-GB"/>
        </w:rPr>
        <w:t>Griţco</w:t>
      </w:r>
      <w:proofErr w:type="spellEnd"/>
      <w:r w:rsidRPr="009F0841">
        <w:rPr>
          <w:rFonts w:ascii="Times New Roman" w:hAnsi="Times New Roman" w:cs="Times New Roman"/>
          <w:lang w:val="en-GB"/>
        </w:rPr>
        <w:t xml:space="preserve"> in ECtHR, </w:t>
      </w:r>
      <w:proofErr w:type="spellStart"/>
      <w:r w:rsidRPr="009F0841">
        <w:rPr>
          <w:rFonts w:ascii="Times New Roman" w:hAnsi="Times New Roman" w:cs="Times New Roman"/>
          <w:i/>
          <w:lang w:val="en-GB"/>
        </w:rPr>
        <w:t>Guðmundur</w:t>
      </w:r>
      <w:proofErr w:type="spellEnd"/>
      <w:r w:rsidRPr="009F0841">
        <w:rPr>
          <w:rFonts w:ascii="Times New Roman" w:hAnsi="Times New Roman" w:cs="Times New Roman"/>
          <w:i/>
          <w:lang w:val="en-GB"/>
        </w:rPr>
        <w:t xml:space="preserve"> </w:t>
      </w:r>
      <w:proofErr w:type="spellStart"/>
      <w:r w:rsidRPr="009F0841">
        <w:rPr>
          <w:rFonts w:ascii="Times New Roman" w:hAnsi="Times New Roman" w:cs="Times New Roman"/>
          <w:i/>
          <w:lang w:val="en-GB"/>
        </w:rPr>
        <w:t>Andri</w:t>
      </w:r>
      <w:proofErr w:type="spellEnd"/>
      <w:r w:rsidRPr="009F0841">
        <w:rPr>
          <w:rFonts w:ascii="Times New Roman" w:hAnsi="Times New Roman" w:cs="Times New Roman"/>
          <w:i/>
          <w:lang w:val="en-GB"/>
        </w:rPr>
        <w:t xml:space="preserve"> </w:t>
      </w:r>
      <w:proofErr w:type="spellStart"/>
      <w:r w:rsidRPr="009F0841">
        <w:rPr>
          <w:rFonts w:ascii="Times New Roman" w:hAnsi="Times New Roman" w:cs="Times New Roman"/>
          <w:i/>
          <w:lang w:val="en-GB"/>
        </w:rPr>
        <w:t>Ástráðsson</w:t>
      </w:r>
      <w:proofErr w:type="spellEnd"/>
      <w:r w:rsidR="00AB06BF" w:rsidRPr="009F0841">
        <w:rPr>
          <w:rFonts w:ascii="Times New Roman" w:hAnsi="Times New Roman" w:cs="Times New Roman"/>
          <w:lang w:val="en-GB"/>
        </w:rPr>
        <w:t>,</w:t>
      </w:r>
      <w:r w:rsidRPr="009F0841">
        <w:rPr>
          <w:rFonts w:ascii="Times New Roman" w:hAnsi="Times New Roman" w:cs="Times New Roman"/>
          <w:lang w:val="en-GB"/>
        </w:rPr>
        <w:t xml:space="preserve"> para 10. Several</w:t>
      </w:r>
      <w:r w:rsidRPr="00A37F5E">
        <w:rPr>
          <w:rFonts w:ascii="Times New Roman" w:hAnsi="Times New Roman" w:cs="Times New Roman"/>
          <w:lang w:val="en-GB"/>
        </w:rPr>
        <w:t xml:space="preserve"> question on this topic were asked during the hearing for the Grand Chamber judgment, held on 5 Feb. 2020. The hearing can be accessed vi</w:t>
      </w:r>
      <w:r w:rsidR="00D9554B">
        <w:rPr>
          <w:rFonts w:ascii="Times New Roman" w:hAnsi="Times New Roman" w:cs="Times New Roman"/>
          <w:lang w:val="en-GB"/>
        </w:rPr>
        <w:t>a: &lt;</w:t>
      </w:r>
      <w:r w:rsidRPr="00A37F5E">
        <w:rPr>
          <w:rFonts w:ascii="Times New Roman" w:hAnsi="Times New Roman" w:cs="Times New Roman"/>
          <w:lang w:val="en-GB"/>
        </w:rPr>
        <w:t>https://www.echr.coe.int/Pages/home.aspx?p=hearings&amp;w=2637418_05022020&amp;language=lang&amp;c=&amp;py=2020&gt;, (last visited 2 Apr. 2020).</w:t>
      </w:r>
    </w:p>
  </w:footnote>
  <w:footnote w:id="88">
    <w:p w14:paraId="4AC94D7B" w14:textId="77777777" w:rsidR="006E3B01" w:rsidRPr="00A37F5E" w:rsidRDefault="006E3B01"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See pending cases C-763/19, C-764/19, C-765/19. </w:t>
      </w:r>
    </w:p>
  </w:footnote>
  <w:footnote w:id="89">
    <w:p w14:paraId="27AE34F0" w14:textId="48778772" w:rsidR="006E3B01" w:rsidRPr="00A37F5E" w:rsidRDefault="006E3B01" w:rsidP="00A37F5E">
      <w:pPr>
        <w:pStyle w:val="Voetnoottekst"/>
        <w:jc w:val="both"/>
        <w:rPr>
          <w:rFonts w:ascii="Times New Roman" w:hAnsi="Times New Roman" w:cs="Times New Roman"/>
          <w:lang w:val="en-GB"/>
        </w:rPr>
      </w:pPr>
      <w:r w:rsidRPr="00A37F5E">
        <w:rPr>
          <w:rStyle w:val="Voetnootmarkering"/>
          <w:rFonts w:ascii="Times New Roman" w:hAnsi="Times New Roman" w:cs="Times New Roman"/>
        </w:rPr>
        <w:footnoteRef/>
      </w:r>
      <w:r w:rsidRPr="00A37F5E">
        <w:rPr>
          <w:rFonts w:ascii="Times New Roman" w:hAnsi="Times New Roman" w:cs="Times New Roman"/>
          <w:lang w:val="en-GB"/>
        </w:rPr>
        <w:t xml:space="preserve"> Even though the Court attaches significant importance to the principle of </w:t>
      </w:r>
      <w:r w:rsidRPr="00A37F5E">
        <w:rPr>
          <w:rFonts w:ascii="Times New Roman" w:hAnsi="Times New Roman" w:cs="Times New Roman"/>
          <w:i/>
          <w:lang w:val="en-GB"/>
        </w:rPr>
        <w:t>res judicata</w:t>
      </w:r>
      <w:r w:rsidRPr="00A37F5E">
        <w:rPr>
          <w:rFonts w:ascii="Times New Roman" w:hAnsi="Times New Roman" w:cs="Times New Roman"/>
          <w:lang w:val="en-GB"/>
        </w:rPr>
        <w:t xml:space="preserve">, it is not absolute. See </w:t>
      </w:r>
      <w:r w:rsidR="00D9554B">
        <w:rPr>
          <w:rFonts w:ascii="Times New Roman" w:hAnsi="Times New Roman" w:cs="Times New Roman"/>
          <w:lang w:val="en-GB"/>
        </w:rPr>
        <w:t xml:space="preserve">for the principle of </w:t>
      </w:r>
      <w:r w:rsidR="00D9554B">
        <w:rPr>
          <w:rFonts w:ascii="Times New Roman" w:hAnsi="Times New Roman" w:cs="Times New Roman"/>
          <w:i/>
          <w:lang w:val="en-GB"/>
        </w:rPr>
        <w:t>res judicata</w:t>
      </w:r>
      <w:r w:rsidR="00D9554B">
        <w:rPr>
          <w:rFonts w:ascii="Times New Roman" w:hAnsi="Times New Roman" w:cs="Times New Roman"/>
          <w:lang w:val="en-GB"/>
        </w:rPr>
        <w:t xml:space="preserve"> in the case law of the ECJ</w:t>
      </w:r>
      <w:r w:rsidRPr="00A37F5E">
        <w:rPr>
          <w:rFonts w:ascii="Times New Roman" w:hAnsi="Times New Roman" w:cs="Times New Roman"/>
          <w:lang w:val="en-GB"/>
        </w:rPr>
        <w:t xml:space="preserve">: </w:t>
      </w:r>
      <w:proofErr w:type="spellStart"/>
      <w:r w:rsidRPr="00A37F5E">
        <w:rPr>
          <w:rFonts w:ascii="Times New Roman" w:hAnsi="Times New Roman" w:cs="Times New Roman"/>
          <w:lang w:val="en-GB"/>
        </w:rPr>
        <w:t>K</w:t>
      </w:r>
      <w:r w:rsidR="00226B2A">
        <w:rPr>
          <w:rFonts w:ascii="Times New Roman" w:hAnsi="Times New Roman" w:cs="Times New Roman"/>
          <w:lang w:val="en-GB"/>
        </w:rPr>
        <w:t>orzenov</w:t>
      </w:r>
      <w:proofErr w:type="spellEnd"/>
      <w:r w:rsidR="00226B2A">
        <w:rPr>
          <w:rFonts w:ascii="Times New Roman" w:hAnsi="Times New Roman" w:cs="Times New Roman"/>
          <w:lang w:val="en-GB"/>
        </w:rPr>
        <w:t>, “</w:t>
      </w:r>
      <w:r w:rsidRPr="00A37F5E">
        <w:rPr>
          <w:rFonts w:ascii="Times New Roman" w:hAnsi="Times New Roman" w:cs="Times New Roman"/>
          <w:i/>
          <w:lang w:val="en-GB"/>
        </w:rPr>
        <w:t>Res Judicata</w:t>
      </w:r>
      <w:r w:rsidRPr="00A37F5E">
        <w:rPr>
          <w:rFonts w:ascii="Times New Roman" w:hAnsi="Times New Roman" w:cs="Times New Roman"/>
          <w:lang w:val="en-GB"/>
        </w:rPr>
        <w:t xml:space="preserve"> of National Judgments Incompatible with EU</w:t>
      </w:r>
      <w:r w:rsidR="00226B2A">
        <w:rPr>
          <w:rFonts w:ascii="Times New Roman" w:hAnsi="Times New Roman" w:cs="Times New Roman"/>
          <w:lang w:val="en-GB"/>
        </w:rPr>
        <w:t xml:space="preserve"> law: Time for a Major Rethink?”</w:t>
      </w:r>
      <w:r w:rsidRPr="00A37F5E">
        <w:rPr>
          <w:rFonts w:ascii="Times New Roman" w:hAnsi="Times New Roman" w:cs="Times New Roman"/>
          <w:lang w:val="en-GB"/>
        </w:rPr>
        <w:t xml:space="preserve"> 51 CML Rev. (2014), pp. 809-842; </w:t>
      </w:r>
      <w:proofErr w:type="spellStart"/>
      <w:r w:rsidRPr="00A37F5E">
        <w:rPr>
          <w:rFonts w:ascii="Times New Roman" w:hAnsi="Times New Roman" w:cs="Times New Roman"/>
          <w:lang w:val="en-GB"/>
        </w:rPr>
        <w:t>Groussot</w:t>
      </w:r>
      <w:proofErr w:type="spellEnd"/>
      <w:r w:rsidRPr="00A37F5E">
        <w:rPr>
          <w:rFonts w:ascii="Times New Roman" w:hAnsi="Times New Roman" w:cs="Times New Roman"/>
          <w:lang w:val="en-GB"/>
        </w:rPr>
        <w:t xml:space="preserve"> and </w:t>
      </w:r>
      <w:proofErr w:type="spellStart"/>
      <w:r w:rsidRPr="00A37F5E">
        <w:rPr>
          <w:rFonts w:ascii="Times New Roman" w:hAnsi="Times New Roman" w:cs="Times New Roman"/>
          <w:lang w:val="en-GB"/>
        </w:rPr>
        <w:t>Minssen</w:t>
      </w:r>
      <w:proofErr w:type="spellEnd"/>
      <w:r w:rsidRPr="00A37F5E">
        <w:rPr>
          <w:rFonts w:ascii="Times New Roman" w:hAnsi="Times New Roman" w:cs="Times New Roman"/>
          <w:lang w:val="en-GB"/>
        </w:rPr>
        <w:t xml:space="preserve">, </w:t>
      </w:r>
      <w:r w:rsidR="00226B2A">
        <w:rPr>
          <w:rFonts w:ascii="Times New Roman" w:hAnsi="Times New Roman" w:cs="Times New Roman"/>
          <w:lang w:val="en-GB"/>
        </w:rPr>
        <w:t>“</w:t>
      </w:r>
      <w:r w:rsidRPr="00A37F5E">
        <w:rPr>
          <w:rFonts w:ascii="Times New Roman" w:hAnsi="Times New Roman" w:cs="Times New Roman"/>
          <w:lang w:val="en-GB"/>
        </w:rPr>
        <w:t>Res Judicata in the Court of Justice Case-Law: Balancing</w:t>
      </w:r>
      <w:r w:rsidR="00226B2A">
        <w:rPr>
          <w:rFonts w:ascii="Times New Roman" w:hAnsi="Times New Roman" w:cs="Times New Roman"/>
          <w:lang w:val="en-GB"/>
        </w:rPr>
        <w:t xml:space="preserve"> Legal Certainty with Legality?”</w:t>
      </w:r>
      <w:r w:rsidRPr="00A37F5E">
        <w:rPr>
          <w:rFonts w:ascii="Times New Roman" w:hAnsi="Times New Roman" w:cs="Times New Roman"/>
          <w:lang w:val="en-GB"/>
        </w:rPr>
        <w:t xml:space="preserve">, 3 </w:t>
      </w:r>
      <w:proofErr w:type="spellStart"/>
      <w:r w:rsidRPr="00A37F5E">
        <w:rPr>
          <w:rFonts w:ascii="Times New Roman" w:hAnsi="Times New Roman" w:cs="Times New Roman"/>
          <w:lang w:val="en-GB"/>
        </w:rPr>
        <w:t>EuConst</w:t>
      </w:r>
      <w:proofErr w:type="spellEnd"/>
      <w:r w:rsidRPr="00A37F5E">
        <w:rPr>
          <w:rFonts w:ascii="Times New Roman" w:hAnsi="Times New Roman" w:cs="Times New Roman"/>
          <w:lang w:val="en-GB"/>
        </w:rPr>
        <w:t xml:space="preserve"> (2007), pp. 385-417.</w:t>
      </w:r>
    </w:p>
  </w:footnote>
  <w:footnote w:id="90">
    <w:p w14:paraId="587CF6F0" w14:textId="3DDAA8F7" w:rsidR="00EB5F3F" w:rsidRPr="00D042F9" w:rsidRDefault="00EB5F3F" w:rsidP="00EB5F3F">
      <w:pPr>
        <w:pStyle w:val="Voetnoottekst"/>
        <w:jc w:val="both"/>
        <w:rPr>
          <w:rFonts w:ascii="Times New Roman" w:eastAsia="Times New Roman" w:hAnsi="Times New Roman" w:cs="Times New Roman"/>
          <w:lang w:val="en-GB"/>
        </w:rPr>
      </w:pPr>
      <w:r w:rsidRPr="00D25AFB">
        <w:rPr>
          <w:rStyle w:val="Voetnootmarkering"/>
          <w:lang w:val="en-GB"/>
        </w:rPr>
        <w:sym w:font="Symbol" w:char="F02A"/>
      </w:r>
      <w:r w:rsidRPr="00D25AFB">
        <w:rPr>
          <w:rFonts w:ascii="Times New Roman" w:hAnsi="Times New Roman" w:cs="Times New Roman"/>
          <w:lang w:val="en-GB"/>
        </w:rPr>
        <w:t xml:space="preserve"> PhD Assistant at the University of Antwerp, Belgium. I would like to thank the anonymous reviewers for their helpful remarks, as well as </w:t>
      </w:r>
      <w:proofErr w:type="spellStart"/>
      <w:r w:rsidRPr="00D25AFB">
        <w:rPr>
          <w:rFonts w:ascii="Times New Roman" w:hAnsi="Times New Roman" w:cs="Times New Roman"/>
          <w:lang w:val="en-GB"/>
        </w:rPr>
        <w:t>Ane</w:t>
      </w:r>
      <w:proofErr w:type="spellEnd"/>
      <w:r w:rsidRPr="00D25AFB">
        <w:rPr>
          <w:rFonts w:ascii="Times New Roman" w:hAnsi="Times New Roman" w:cs="Times New Roman"/>
          <w:lang w:val="en-GB"/>
        </w:rPr>
        <w:t xml:space="preserve"> </w:t>
      </w:r>
      <w:proofErr w:type="spellStart"/>
      <w:r w:rsidRPr="00D25AFB">
        <w:rPr>
          <w:rFonts w:ascii="Times New Roman" w:hAnsi="Times New Roman" w:cs="Times New Roman"/>
          <w:lang w:val="en-GB"/>
        </w:rPr>
        <w:t>Aranguiz</w:t>
      </w:r>
      <w:proofErr w:type="spellEnd"/>
      <w:r w:rsidRPr="00D25AFB">
        <w:rPr>
          <w:rFonts w:ascii="Times New Roman" w:hAnsi="Times New Roman" w:cs="Times New Roman"/>
          <w:lang w:val="en-GB"/>
        </w:rPr>
        <w:t xml:space="preserve"> and </w:t>
      </w:r>
      <w:r>
        <w:rPr>
          <w:rFonts w:ascii="Times New Roman" w:hAnsi="Times New Roman" w:cs="Times New Roman"/>
          <w:lang w:val="en-GB"/>
        </w:rPr>
        <w:t xml:space="preserve">Johan </w:t>
      </w:r>
      <w:proofErr w:type="spellStart"/>
      <w:r>
        <w:rPr>
          <w:rFonts w:ascii="Times New Roman" w:hAnsi="Times New Roman" w:cs="Times New Roman"/>
          <w:lang w:val="en-GB"/>
        </w:rPr>
        <w:t>Meeusen</w:t>
      </w:r>
      <w:proofErr w:type="spellEnd"/>
      <w:r>
        <w:rPr>
          <w:rFonts w:ascii="Times New Roman" w:hAnsi="Times New Roman" w:cs="Times New Roman"/>
          <w:lang w:val="en-GB"/>
        </w:rPr>
        <w:t xml:space="preserve"> from the University of Antwerp</w:t>
      </w:r>
      <w:r w:rsidRPr="00D25AFB">
        <w:rPr>
          <w:rFonts w:ascii="Times New Roman" w:hAnsi="Times New Roman" w:cs="Times New Roman"/>
          <w:lang w:val="en-GB"/>
        </w:rPr>
        <w:t xml:space="preserve"> for reading an earlier version of this</w:t>
      </w:r>
      <w:r>
        <w:rPr>
          <w:rFonts w:ascii="Times New Roman" w:hAnsi="Times New Roman" w:cs="Times New Roman"/>
          <w:lang w:val="en-GB"/>
        </w:rPr>
        <w:t xml:space="preserv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28D9" w14:textId="71DAAD93" w:rsidR="00B00C74" w:rsidRPr="00B00C74" w:rsidRDefault="00B00C74">
    <w:pPr>
      <w:pStyle w:val="Koptekst"/>
      <w:rPr>
        <w:rFonts w:ascii="Times New Roman" w:hAnsi="Times New Roman" w:cs="Times New Roman"/>
        <w:sz w:val="20"/>
      </w:rPr>
    </w:pPr>
    <w:proofErr w:type="spellStart"/>
    <w:r w:rsidRPr="00B00C74">
      <w:rPr>
        <w:rFonts w:ascii="Times New Roman" w:hAnsi="Times New Roman" w:cs="Times New Roman"/>
        <w:sz w:val="20"/>
      </w:rPr>
      <w:t>To</w:t>
    </w:r>
    <w:proofErr w:type="spellEnd"/>
    <w:r w:rsidRPr="00B00C74">
      <w:rPr>
        <w:rFonts w:ascii="Times New Roman" w:hAnsi="Times New Roman" w:cs="Times New Roman"/>
        <w:sz w:val="20"/>
      </w:rPr>
      <w:t xml:space="preserve"> </w:t>
    </w:r>
    <w:proofErr w:type="spellStart"/>
    <w:r w:rsidRPr="00B00C74">
      <w:rPr>
        <w:rFonts w:ascii="Times New Roman" w:hAnsi="Times New Roman" w:cs="Times New Roman"/>
        <w:sz w:val="20"/>
      </w:rPr>
      <w:t>be</w:t>
    </w:r>
    <w:proofErr w:type="spellEnd"/>
    <w:r w:rsidRPr="00B00C74">
      <w:rPr>
        <w:rFonts w:ascii="Times New Roman" w:hAnsi="Times New Roman" w:cs="Times New Roman"/>
        <w:sz w:val="20"/>
      </w:rPr>
      <w:t xml:space="preserve"> </w:t>
    </w:r>
    <w:proofErr w:type="spellStart"/>
    <w:r w:rsidRPr="00B00C74">
      <w:rPr>
        <w:rFonts w:ascii="Times New Roman" w:hAnsi="Times New Roman" w:cs="Times New Roman"/>
        <w:sz w:val="20"/>
      </w:rPr>
      <w:t>published</w:t>
    </w:r>
    <w:proofErr w:type="spellEnd"/>
    <w:r w:rsidRPr="00B00C74">
      <w:rPr>
        <w:rFonts w:ascii="Times New Roman" w:hAnsi="Times New Roman" w:cs="Times New Roman"/>
        <w:sz w:val="20"/>
      </w:rPr>
      <w:t xml:space="preserve"> in </w:t>
    </w:r>
    <w:r w:rsidRPr="00B00C74">
      <w:rPr>
        <w:rFonts w:ascii="Times New Roman" w:hAnsi="Times New Roman" w:cs="Times New Roman"/>
        <w:i/>
        <w:sz w:val="20"/>
      </w:rPr>
      <w:t xml:space="preserve">Common Market </w:t>
    </w:r>
    <w:proofErr w:type="spellStart"/>
    <w:r w:rsidRPr="00B00C74">
      <w:rPr>
        <w:rFonts w:ascii="Times New Roman" w:hAnsi="Times New Roman" w:cs="Times New Roman"/>
        <w:i/>
        <w:sz w:val="20"/>
      </w:rPr>
      <w:t>Law</w:t>
    </w:r>
    <w:proofErr w:type="spellEnd"/>
    <w:r w:rsidRPr="00B00C74">
      <w:rPr>
        <w:rFonts w:ascii="Times New Roman" w:hAnsi="Times New Roman" w:cs="Times New Roman"/>
        <w:i/>
        <w:sz w:val="20"/>
      </w:rPr>
      <w:t xml:space="preserve"> Review</w:t>
    </w:r>
    <w:r w:rsidRPr="00B00C74">
      <w:rPr>
        <w:rFonts w:ascii="Times New Roman" w:hAnsi="Times New Roman" w:cs="Times New Roman"/>
        <w:sz w:val="20"/>
      </w:rPr>
      <w:t xml:space="preserve"> 2020(4)</w:t>
    </w:r>
    <w:r w:rsidRPr="00B00C74">
      <w:rPr>
        <w:rFonts w:ascii="Times New Roman" w:hAnsi="Times New Roman" w:cs="Times New Roman"/>
        <w:sz w:val="20"/>
      </w:rPr>
      <w:tab/>
      <w:t>Mathieu Leloup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700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13113F"/>
    <w:multiLevelType w:val="hybridMultilevel"/>
    <w:tmpl w:val="A006882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BB6E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5F736B"/>
    <w:multiLevelType w:val="hybridMultilevel"/>
    <w:tmpl w:val="032641AA"/>
    <w:lvl w:ilvl="0" w:tplc="BD92034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DB53C3A"/>
    <w:multiLevelType w:val="hybridMultilevel"/>
    <w:tmpl w:val="23A826C6"/>
    <w:lvl w:ilvl="0" w:tplc="C16E3EF4">
      <w:start w:val="1"/>
      <w:numFmt w:val="decimal"/>
      <w:pStyle w:val="Geenafstand"/>
      <w:lvlText w:val="%1."/>
      <w:lvlJc w:val="left"/>
      <w:pPr>
        <w:ind w:left="360" w:hanging="360"/>
      </w:pPr>
      <w:rPr>
        <w:rFonts w:hint="default"/>
        <w:b/>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86"/>
    <w:rsid w:val="00003D8B"/>
    <w:rsid w:val="00004C5B"/>
    <w:rsid w:val="00005C81"/>
    <w:rsid w:val="00007928"/>
    <w:rsid w:val="00010311"/>
    <w:rsid w:val="00010733"/>
    <w:rsid w:val="00013288"/>
    <w:rsid w:val="00016963"/>
    <w:rsid w:val="000279D4"/>
    <w:rsid w:val="000423F8"/>
    <w:rsid w:val="000574E6"/>
    <w:rsid w:val="00062C48"/>
    <w:rsid w:val="0006550F"/>
    <w:rsid w:val="00067FE7"/>
    <w:rsid w:val="00085855"/>
    <w:rsid w:val="00095DFC"/>
    <w:rsid w:val="000A37FB"/>
    <w:rsid w:val="000C025D"/>
    <w:rsid w:val="000C4292"/>
    <w:rsid w:val="000C7604"/>
    <w:rsid w:val="000F1ADC"/>
    <w:rsid w:val="000F4ED1"/>
    <w:rsid w:val="000F7557"/>
    <w:rsid w:val="00107CDA"/>
    <w:rsid w:val="00110F69"/>
    <w:rsid w:val="00111D52"/>
    <w:rsid w:val="00114744"/>
    <w:rsid w:val="00123AAA"/>
    <w:rsid w:val="00132F4A"/>
    <w:rsid w:val="001341CC"/>
    <w:rsid w:val="001439C6"/>
    <w:rsid w:val="00151D9C"/>
    <w:rsid w:val="001613AD"/>
    <w:rsid w:val="00174023"/>
    <w:rsid w:val="00176049"/>
    <w:rsid w:val="00187586"/>
    <w:rsid w:val="00187B41"/>
    <w:rsid w:val="00194E07"/>
    <w:rsid w:val="001A2BDB"/>
    <w:rsid w:val="001B4EFB"/>
    <w:rsid w:val="001D41B9"/>
    <w:rsid w:val="001E2AB9"/>
    <w:rsid w:val="001E42F6"/>
    <w:rsid w:val="001E696F"/>
    <w:rsid w:val="00200C7D"/>
    <w:rsid w:val="00206C3B"/>
    <w:rsid w:val="0021198F"/>
    <w:rsid w:val="0021232D"/>
    <w:rsid w:val="00215D2B"/>
    <w:rsid w:val="00220196"/>
    <w:rsid w:val="00226B2A"/>
    <w:rsid w:val="00234560"/>
    <w:rsid w:val="00234CAE"/>
    <w:rsid w:val="00245233"/>
    <w:rsid w:val="00245406"/>
    <w:rsid w:val="00246B04"/>
    <w:rsid w:val="00260B86"/>
    <w:rsid w:val="002659B0"/>
    <w:rsid w:val="00270E95"/>
    <w:rsid w:val="00273F4E"/>
    <w:rsid w:val="002748FD"/>
    <w:rsid w:val="00281BE7"/>
    <w:rsid w:val="002847E1"/>
    <w:rsid w:val="002849F5"/>
    <w:rsid w:val="00286292"/>
    <w:rsid w:val="002973F5"/>
    <w:rsid w:val="0029797B"/>
    <w:rsid w:val="002A4EA2"/>
    <w:rsid w:val="002A6ADA"/>
    <w:rsid w:val="002C53DC"/>
    <w:rsid w:val="002D4B0F"/>
    <w:rsid w:val="00303D05"/>
    <w:rsid w:val="00303F18"/>
    <w:rsid w:val="003130EC"/>
    <w:rsid w:val="00313E05"/>
    <w:rsid w:val="003156BE"/>
    <w:rsid w:val="003159C1"/>
    <w:rsid w:val="003217E2"/>
    <w:rsid w:val="0032197E"/>
    <w:rsid w:val="003219F7"/>
    <w:rsid w:val="00323FFE"/>
    <w:rsid w:val="003254F7"/>
    <w:rsid w:val="003303C9"/>
    <w:rsid w:val="003359F1"/>
    <w:rsid w:val="00336E94"/>
    <w:rsid w:val="00337B8E"/>
    <w:rsid w:val="00360723"/>
    <w:rsid w:val="003608C8"/>
    <w:rsid w:val="00361AD7"/>
    <w:rsid w:val="00385524"/>
    <w:rsid w:val="0039636C"/>
    <w:rsid w:val="003A013C"/>
    <w:rsid w:val="003A0B58"/>
    <w:rsid w:val="003B22F6"/>
    <w:rsid w:val="003B5F70"/>
    <w:rsid w:val="003C03BB"/>
    <w:rsid w:val="003C2A7A"/>
    <w:rsid w:val="003C2A90"/>
    <w:rsid w:val="003D2479"/>
    <w:rsid w:val="003D7092"/>
    <w:rsid w:val="003D727A"/>
    <w:rsid w:val="003E522B"/>
    <w:rsid w:val="003E61DE"/>
    <w:rsid w:val="003F29ED"/>
    <w:rsid w:val="0041389A"/>
    <w:rsid w:val="0041561D"/>
    <w:rsid w:val="004161F0"/>
    <w:rsid w:val="00420F39"/>
    <w:rsid w:val="004323B1"/>
    <w:rsid w:val="004362AD"/>
    <w:rsid w:val="004402FD"/>
    <w:rsid w:val="0047262A"/>
    <w:rsid w:val="0047436E"/>
    <w:rsid w:val="0047745C"/>
    <w:rsid w:val="00481F2D"/>
    <w:rsid w:val="004917AF"/>
    <w:rsid w:val="00493C20"/>
    <w:rsid w:val="00494E4A"/>
    <w:rsid w:val="004970D5"/>
    <w:rsid w:val="004977F3"/>
    <w:rsid w:val="004A24CA"/>
    <w:rsid w:val="004D19AF"/>
    <w:rsid w:val="004E5642"/>
    <w:rsid w:val="004E720B"/>
    <w:rsid w:val="004F32D3"/>
    <w:rsid w:val="00502FFF"/>
    <w:rsid w:val="00512368"/>
    <w:rsid w:val="005160FD"/>
    <w:rsid w:val="005275A9"/>
    <w:rsid w:val="0053433F"/>
    <w:rsid w:val="00546572"/>
    <w:rsid w:val="00546BC1"/>
    <w:rsid w:val="00547E37"/>
    <w:rsid w:val="00555059"/>
    <w:rsid w:val="0055679F"/>
    <w:rsid w:val="0056204D"/>
    <w:rsid w:val="00562252"/>
    <w:rsid w:val="00563DCB"/>
    <w:rsid w:val="005A3E5D"/>
    <w:rsid w:val="005A4D5C"/>
    <w:rsid w:val="005B04C2"/>
    <w:rsid w:val="005B4AA8"/>
    <w:rsid w:val="005C629F"/>
    <w:rsid w:val="005E38E8"/>
    <w:rsid w:val="005E6C4B"/>
    <w:rsid w:val="005F4440"/>
    <w:rsid w:val="00600675"/>
    <w:rsid w:val="00602E3F"/>
    <w:rsid w:val="00603230"/>
    <w:rsid w:val="006122E1"/>
    <w:rsid w:val="006129C6"/>
    <w:rsid w:val="00622150"/>
    <w:rsid w:val="00623E9E"/>
    <w:rsid w:val="00635540"/>
    <w:rsid w:val="00637D02"/>
    <w:rsid w:val="00660CC1"/>
    <w:rsid w:val="00660EE7"/>
    <w:rsid w:val="0066603A"/>
    <w:rsid w:val="006736A0"/>
    <w:rsid w:val="0069329F"/>
    <w:rsid w:val="006979FB"/>
    <w:rsid w:val="006A5121"/>
    <w:rsid w:val="006B40F1"/>
    <w:rsid w:val="006C4310"/>
    <w:rsid w:val="006D0E79"/>
    <w:rsid w:val="006E05A1"/>
    <w:rsid w:val="006E08A0"/>
    <w:rsid w:val="006E1CC4"/>
    <w:rsid w:val="006E3B01"/>
    <w:rsid w:val="006F298D"/>
    <w:rsid w:val="006F582F"/>
    <w:rsid w:val="00737C59"/>
    <w:rsid w:val="00740C8E"/>
    <w:rsid w:val="00750B8C"/>
    <w:rsid w:val="00760111"/>
    <w:rsid w:val="00771A2F"/>
    <w:rsid w:val="00776680"/>
    <w:rsid w:val="00784A30"/>
    <w:rsid w:val="007A0F27"/>
    <w:rsid w:val="007A4C55"/>
    <w:rsid w:val="007A72FB"/>
    <w:rsid w:val="007B016C"/>
    <w:rsid w:val="007B0C9B"/>
    <w:rsid w:val="007B2066"/>
    <w:rsid w:val="007C0EEE"/>
    <w:rsid w:val="007C76F2"/>
    <w:rsid w:val="007D3513"/>
    <w:rsid w:val="007E441A"/>
    <w:rsid w:val="007F438E"/>
    <w:rsid w:val="00803152"/>
    <w:rsid w:val="008116BA"/>
    <w:rsid w:val="00815510"/>
    <w:rsid w:val="008157C6"/>
    <w:rsid w:val="00842029"/>
    <w:rsid w:val="00842D1C"/>
    <w:rsid w:val="0084492E"/>
    <w:rsid w:val="00844B35"/>
    <w:rsid w:val="00846357"/>
    <w:rsid w:val="008515CB"/>
    <w:rsid w:val="00861344"/>
    <w:rsid w:val="00876C07"/>
    <w:rsid w:val="0087798A"/>
    <w:rsid w:val="008830DD"/>
    <w:rsid w:val="008860C5"/>
    <w:rsid w:val="0088663D"/>
    <w:rsid w:val="008923D6"/>
    <w:rsid w:val="00895DE1"/>
    <w:rsid w:val="008970A0"/>
    <w:rsid w:val="008A244F"/>
    <w:rsid w:val="008A57CD"/>
    <w:rsid w:val="008A665D"/>
    <w:rsid w:val="008C7426"/>
    <w:rsid w:val="008D26A4"/>
    <w:rsid w:val="008D7A06"/>
    <w:rsid w:val="008E195B"/>
    <w:rsid w:val="008E1B45"/>
    <w:rsid w:val="008E52A5"/>
    <w:rsid w:val="008E6E7F"/>
    <w:rsid w:val="008F5B10"/>
    <w:rsid w:val="00910DE5"/>
    <w:rsid w:val="009112A2"/>
    <w:rsid w:val="009126CA"/>
    <w:rsid w:val="00917C76"/>
    <w:rsid w:val="00930B4A"/>
    <w:rsid w:val="009367FB"/>
    <w:rsid w:val="0093712C"/>
    <w:rsid w:val="00937957"/>
    <w:rsid w:val="00944BFF"/>
    <w:rsid w:val="00946D4F"/>
    <w:rsid w:val="009509CE"/>
    <w:rsid w:val="009572A0"/>
    <w:rsid w:val="009646A2"/>
    <w:rsid w:val="009659F7"/>
    <w:rsid w:val="00970A0F"/>
    <w:rsid w:val="00975333"/>
    <w:rsid w:val="00975BD2"/>
    <w:rsid w:val="00985EF7"/>
    <w:rsid w:val="00991CC9"/>
    <w:rsid w:val="00992F69"/>
    <w:rsid w:val="009A2DEC"/>
    <w:rsid w:val="009A6A3B"/>
    <w:rsid w:val="009A6D43"/>
    <w:rsid w:val="009B1846"/>
    <w:rsid w:val="009B59EF"/>
    <w:rsid w:val="009C0BA9"/>
    <w:rsid w:val="009D2EFE"/>
    <w:rsid w:val="009E02F2"/>
    <w:rsid w:val="009E56E9"/>
    <w:rsid w:val="009F057C"/>
    <w:rsid w:val="009F0841"/>
    <w:rsid w:val="009F588B"/>
    <w:rsid w:val="009F6216"/>
    <w:rsid w:val="00A01322"/>
    <w:rsid w:val="00A2687E"/>
    <w:rsid w:val="00A37F5E"/>
    <w:rsid w:val="00A423F4"/>
    <w:rsid w:val="00A52D2B"/>
    <w:rsid w:val="00A60B35"/>
    <w:rsid w:val="00A67258"/>
    <w:rsid w:val="00A71319"/>
    <w:rsid w:val="00A741BF"/>
    <w:rsid w:val="00A81D8C"/>
    <w:rsid w:val="00A9084F"/>
    <w:rsid w:val="00AA5646"/>
    <w:rsid w:val="00AB06BF"/>
    <w:rsid w:val="00AB10B1"/>
    <w:rsid w:val="00AB1551"/>
    <w:rsid w:val="00AC2F48"/>
    <w:rsid w:val="00AC3905"/>
    <w:rsid w:val="00AC7D47"/>
    <w:rsid w:val="00AD308F"/>
    <w:rsid w:val="00AF2E95"/>
    <w:rsid w:val="00B00C74"/>
    <w:rsid w:val="00B01E4E"/>
    <w:rsid w:val="00B03E7C"/>
    <w:rsid w:val="00B06F3F"/>
    <w:rsid w:val="00B07B1F"/>
    <w:rsid w:val="00B13504"/>
    <w:rsid w:val="00B138B2"/>
    <w:rsid w:val="00B16F46"/>
    <w:rsid w:val="00B22436"/>
    <w:rsid w:val="00B27EAD"/>
    <w:rsid w:val="00B31E39"/>
    <w:rsid w:val="00B34D30"/>
    <w:rsid w:val="00B369BD"/>
    <w:rsid w:val="00B439CA"/>
    <w:rsid w:val="00B47E29"/>
    <w:rsid w:val="00B5014F"/>
    <w:rsid w:val="00B6140D"/>
    <w:rsid w:val="00B636AE"/>
    <w:rsid w:val="00B70344"/>
    <w:rsid w:val="00B76BF7"/>
    <w:rsid w:val="00B76E35"/>
    <w:rsid w:val="00B80ABC"/>
    <w:rsid w:val="00B842B2"/>
    <w:rsid w:val="00B90E97"/>
    <w:rsid w:val="00BB38BB"/>
    <w:rsid w:val="00BC2342"/>
    <w:rsid w:val="00BE47F8"/>
    <w:rsid w:val="00BE4B0E"/>
    <w:rsid w:val="00BF19F0"/>
    <w:rsid w:val="00BF4657"/>
    <w:rsid w:val="00BF7D55"/>
    <w:rsid w:val="00C036E8"/>
    <w:rsid w:val="00C172E8"/>
    <w:rsid w:val="00C26B51"/>
    <w:rsid w:val="00C27E6F"/>
    <w:rsid w:val="00C31ACA"/>
    <w:rsid w:val="00C330B3"/>
    <w:rsid w:val="00C33556"/>
    <w:rsid w:val="00C563AD"/>
    <w:rsid w:val="00C61340"/>
    <w:rsid w:val="00C6270B"/>
    <w:rsid w:val="00C706C8"/>
    <w:rsid w:val="00C80546"/>
    <w:rsid w:val="00C91B5E"/>
    <w:rsid w:val="00C9521D"/>
    <w:rsid w:val="00C975D0"/>
    <w:rsid w:val="00C97866"/>
    <w:rsid w:val="00CA390C"/>
    <w:rsid w:val="00CA40CD"/>
    <w:rsid w:val="00CA5B9D"/>
    <w:rsid w:val="00CA7B09"/>
    <w:rsid w:val="00CB075F"/>
    <w:rsid w:val="00CB249F"/>
    <w:rsid w:val="00CB3BAD"/>
    <w:rsid w:val="00CC3BC0"/>
    <w:rsid w:val="00CC3E87"/>
    <w:rsid w:val="00CD3ADA"/>
    <w:rsid w:val="00CF30FC"/>
    <w:rsid w:val="00D15647"/>
    <w:rsid w:val="00D21D45"/>
    <w:rsid w:val="00D45BD1"/>
    <w:rsid w:val="00D51CD7"/>
    <w:rsid w:val="00D52CD1"/>
    <w:rsid w:val="00D54B33"/>
    <w:rsid w:val="00D66A21"/>
    <w:rsid w:val="00D74646"/>
    <w:rsid w:val="00D76EB6"/>
    <w:rsid w:val="00D76F0C"/>
    <w:rsid w:val="00D77565"/>
    <w:rsid w:val="00D83231"/>
    <w:rsid w:val="00D93877"/>
    <w:rsid w:val="00D93C56"/>
    <w:rsid w:val="00D9554B"/>
    <w:rsid w:val="00D96B48"/>
    <w:rsid w:val="00DB2933"/>
    <w:rsid w:val="00DB4415"/>
    <w:rsid w:val="00DD4980"/>
    <w:rsid w:val="00DE35BB"/>
    <w:rsid w:val="00DE36A5"/>
    <w:rsid w:val="00DE60D1"/>
    <w:rsid w:val="00DF3FAC"/>
    <w:rsid w:val="00DF63A4"/>
    <w:rsid w:val="00E076EA"/>
    <w:rsid w:val="00E07E31"/>
    <w:rsid w:val="00E160BE"/>
    <w:rsid w:val="00E3067E"/>
    <w:rsid w:val="00E324B4"/>
    <w:rsid w:val="00E353A0"/>
    <w:rsid w:val="00E356F3"/>
    <w:rsid w:val="00E37DF9"/>
    <w:rsid w:val="00E448E1"/>
    <w:rsid w:val="00E5382C"/>
    <w:rsid w:val="00E63237"/>
    <w:rsid w:val="00E65099"/>
    <w:rsid w:val="00E660EB"/>
    <w:rsid w:val="00E74183"/>
    <w:rsid w:val="00E77ADC"/>
    <w:rsid w:val="00E83543"/>
    <w:rsid w:val="00E91707"/>
    <w:rsid w:val="00EA094A"/>
    <w:rsid w:val="00EA33A3"/>
    <w:rsid w:val="00EB3C53"/>
    <w:rsid w:val="00EB3C8A"/>
    <w:rsid w:val="00EB5881"/>
    <w:rsid w:val="00EB5F3F"/>
    <w:rsid w:val="00EC59FA"/>
    <w:rsid w:val="00ED241E"/>
    <w:rsid w:val="00ED33FE"/>
    <w:rsid w:val="00ED6C36"/>
    <w:rsid w:val="00ED6E85"/>
    <w:rsid w:val="00ED7BED"/>
    <w:rsid w:val="00EE495E"/>
    <w:rsid w:val="00EF0670"/>
    <w:rsid w:val="00EF6020"/>
    <w:rsid w:val="00F178B9"/>
    <w:rsid w:val="00F2528F"/>
    <w:rsid w:val="00F27A2A"/>
    <w:rsid w:val="00F31E3D"/>
    <w:rsid w:val="00F368A3"/>
    <w:rsid w:val="00F52174"/>
    <w:rsid w:val="00F675C9"/>
    <w:rsid w:val="00F71195"/>
    <w:rsid w:val="00F73433"/>
    <w:rsid w:val="00F80A9C"/>
    <w:rsid w:val="00F840C6"/>
    <w:rsid w:val="00F95F1C"/>
    <w:rsid w:val="00FA1347"/>
    <w:rsid w:val="00FA37BA"/>
    <w:rsid w:val="00FB0C4A"/>
    <w:rsid w:val="00FB6190"/>
    <w:rsid w:val="00FB69CD"/>
    <w:rsid w:val="00FE0D0D"/>
    <w:rsid w:val="00FE6C10"/>
    <w:rsid w:val="00FF2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25A0"/>
  <w15:chartTrackingRefBased/>
  <w15:docId w15:val="{D5BA72A8-A44A-43C2-9A94-E821429F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77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876C0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Randnummer"/>
    <w:uiPriority w:val="1"/>
    <w:qFormat/>
    <w:rsid w:val="004A24CA"/>
    <w:pPr>
      <w:numPr>
        <w:numId w:val="1"/>
      </w:numPr>
      <w:spacing w:after="120" w:line="360" w:lineRule="auto"/>
      <w:jc w:val="both"/>
    </w:pPr>
    <w:rPr>
      <w:rFonts w:ascii="Times New Roman" w:hAnsi="Times New Roman"/>
      <w:sz w:val="24"/>
      <w:lang w:val="en-US"/>
    </w:rPr>
  </w:style>
  <w:style w:type="character" w:styleId="Hyperlink">
    <w:name w:val="Hyperlink"/>
    <w:basedOn w:val="Standaardalinea-lettertype"/>
    <w:uiPriority w:val="99"/>
    <w:unhideWhenUsed/>
    <w:rsid w:val="00187586"/>
    <w:rPr>
      <w:color w:val="0000FF"/>
      <w:u w:val="single"/>
    </w:rPr>
  </w:style>
  <w:style w:type="character" w:styleId="Zwaar">
    <w:name w:val="Strong"/>
    <w:basedOn w:val="Standaardalinea-lettertype"/>
    <w:uiPriority w:val="22"/>
    <w:qFormat/>
    <w:rsid w:val="00245233"/>
    <w:rPr>
      <w:b/>
      <w:bCs/>
    </w:rPr>
  </w:style>
  <w:style w:type="character" w:customStyle="1" w:styleId="hide">
    <w:name w:val="hide"/>
    <w:basedOn w:val="Standaardalinea-lettertype"/>
    <w:rsid w:val="00245233"/>
  </w:style>
  <w:style w:type="paragraph" w:styleId="Lijstalinea">
    <w:name w:val="List Paragraph"/>
    <w:basedOn w:val="Standaard"/>
    <w:uiPriority w:val="34"/>
    <w:qFormat/>
    <w:rsid w:val="003F29ED"/>
    <w:pPr>
      <w:ind w:left="720"/>
      <w:contextualSpacing/>
    </w:pPr>
  </w:style>
  <w:style w:type="character" w:customStyle="1" w:styleId="Kop3Char">
    <w:name w:val="Kop 3 Char"/>
    <w:basedOn w:val="Standaardalinea-lettertype"/>
    <w:link w:val="Kop3"/>
    <w:uiPriority w:val="9"/>
    <w:rsid w:val="00876C07"/>
    <w:rPr>
      <w:rFonts w:ascii="Times New Roman" w:eastAsia="Times New Roman" w:hAnsi="Times New Roman" w:cs="Times New Roman"/>
      <w:b/>
      <w:bCs/>
      <w:sz w:val="27"/>
      <w:szCs w:val="27"/>
      <w:lang w:eastAsia="nl-BE"/>
    </w:rPr>
  </w:style>
  <w:style w:type="paragraph" w:styleId="Voetnoottekst">
    <w:name w:val="footnote text"/>
    <w:aliases w:val="Voetnootverwijzing_par,Footnote Text Char1,Footnote Text Char Char,Char Char Char,Footnote Text Char3,Footnote Text Char2 Char1,Footnote Text Char Char1 Char,Footnote Text Char2 Char Char Char,Footnote Text Char1 Char1 Char Char Char,fn"/>
    <w:basedOn w:val="Standaard"/>
    <w:link w:val="VoetnoottekstChar"/>
    <w:uiPriority w:val="99"/>
    <w:unhideWhenUsed/>
    <w:qFormat/>
    <w:rsid w:val="00876C07"/>
    <w:pPr>
      <w:spacing w:after="0" w:line="240" w:lineRule="auto"/>
    </w:pPr>
    <w:rPr>
      <w:sz w:val="20"/>
      <w:szCs w:val="20"/>
    </w:rPr>
  </w:style>
  <w:style w:type="character" w:customStyle="1" w:styleId="VoetnoottekstChar">
    <w:name w:val="Voetnoottekst Char"/>
    <w:aliases w:val="Voetnootverwijzing_par Char,Footnote Text Char1 Char,Footnote Text Char Char Char,Char Char Char Char,Footnote Text Char3 Char,Footnote Text Char2 Char1 Char,Footnote Text Char Char1 Char Char,Footnote Text Char2 Char Char Char Char"/>
    <w:basedOn w:val="Standaardalinea-lettertype"/>
    <w:link w:val="Voetnoottekst"/>
    <w:uiPriority w:val="99"/>
    <w:rsid w:val="00876C07"/>
    <w:rPr>
      <w:sz w:val="20"/>
      <w:szCs w:val="20"/>
    </w:rPr>
  </w:style>
  <w:style w:type="character" w:styleId="Voetnootmarkering">
    <w:name w:val="footnote reference"/>
    <w:basedOn w:val="Standaardalinea-lettertype"/>
    <w:uiPriority w:val="99"/>
    <w:semiHidden/>
    <w:unhideWhenUsed/>
    <w:rsid w:val="00876C07"/>
    <w:rPr>
      <w:vertAlign w:val="superscript"/>
    </w:rPr>
  </w:style>
  <w:style w:type="paragraph" w:styleId="Eindnoottekst">
    <w:name w:val="endnote text"/>
    <w:basedOn w:val="Standaard"/>
    <w:link w:val="EindnoottekstChar"/>
    <w:uiPriority w:val="99"/>
    <w:semiHidden/>
    <w:unhideWhenUsed/>
    <w:rsid w:val="009126C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126CA"/>
    <w:rPr>
      <w:sz w:val="20"/>
      <w:szCs w:val="20"/>
    </w:rPr>
  </w:style>
  <w:style w:type="character" w:styleId="Eindnootmarkering">
    <w:name w:val="endnote reference"/>
    <w:basedOn w:val="Standaardalinea-lettertype"/>
    <w:uiPriority w:val="99"/>
    <w:semiHidden/>
    <w:unhideWhenUsed/>
    <w:rsid w:val="009126CA"/>
    <w:rPr>
      <w:vertAlign w:val="superscript"/>
    </w:rPr>
  </w:style>
  <w:style w:type="character" w:styleId="Verwijzingopmerking">
    <w:name w:val="annotation reference"/>
    <w:basedOn w:val="Standaardalinea-lettertype"/>
    <w:uiPriority w:val="99"/>
    <w:semiHidden/>
    <w:unhideWhenUsed/>
    <w:rsid w:val="00846357"/>
    <w:rPr>
      <w:sz w:val="16"/>
      <w:szCs w:val="16"/>
    </w:rPr>
  </w:style>
  <w:style w:type="paragraph" w:styleId="Tekstopmerking">
    <w:name w:val="annotation text"/>
    <w:basedOn w:val="Standaard"/>
    <w:link w:val="TekstopmerkingChar"/>
    <w:uiPriority w:val="99"/>
    <w:semiHidden/>
    <w:unhideWhenUsed/>
    <w:rsid w:val="00846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6357"/>
    <w:rPr>
      <w:sz w:val="20"/>
      <w:szCs w:val="20"/>
    </w:rPr>
  </w:style>
  <w:style w:type="paragraph" w:styleId="Onderwerpvanopmerking">
    <w:name w:val="annotation subject"/>
    <w:basedOn w:val="Tekstopmerking"/>
    <w:next w:val="Tekstopmerking"/>
    <w:link w:val="OnderwerpvanopmerkingChar"/>
    <w:uiPriority w:val="99"/>
    <w:semiHidden/>
    <w:unhideWhenUsed/>
    <w:rsid w:val="00846357"/>
    <w:rPr>
      <w:b/>
      <w:bCs/>
    </w:rPr>
  </w:style>
  <w:style w:type="character" w:customStyle="1" w:styleId="OnderwerpvanopmerkingChar">
    <w:name w:val="Onderwerp van opmerking Char"/>
    <w:basedOn w:val="TekstopmerkingChar"/>
    <w:link w:val="Onderwerpvanopmerking"/>
    <w:uiPriority w:val="99"/>
    <w:semiHidden/>
    <w:rsid w:val="00846357"/>
    <w:rPr>
      <w:b/>
      <w:bCs/>
      <w:sz w:val="20"/>
      <w:szCs w:val="20"/>
    </w:rPr>
  </w:style>
  <w:style w:type="paragraph" w:styleId="Ballontekst">
    <w:name w:val="Balloon Text"/>
    <w:basedOn w:val="Standaard"/>
    <w:link w:val="BallontekstChar"/>
    <w:uiPriority w:val="99"/>
    <w:semiHidden/>
    <w:unhideWhenUsed/>
    <w:rsid w:val="00846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6357"/>
    <w:rPr>
      <w:rFonts w:ascii="Segoe UI" w:hAnsi="Segoe UI" w:cs="Segoe UI"/>
      <w:sz w:val="18"/>
      <w:szCs w:val="18"/>
    </w:rPr>
  </w:style>
  <w:style w:type="character" w:styleId="GevolgdeHyperlink">
    <w:name w:val="FollowedHyperlink"/>
    <w:basedOn w:val="Standaardalinea-lettertype"/>
    <w:uiPriority w:val="99"/>
    <w:semiHidden/>
    <w:unhideWhenUsed/>
    <w:rsid w:val="00C6270B"/>
    <w:rPr>
      <w:color w:val="954F72" w:themeColor="followedHyperlink"/>
      <w:u w:val="single"/>
    </w:rPr>
  </w:style>
  <w:style w:type="character" w:customStyle="1" w:styleId="Kop1Char">
    <w:name w:val="Kop 1 Char"/>
    <w:basedOn w:val="Standaardalinea-lettertype"/>
    <w:link w:val="Kop1"/>
    <w:uiPriority w:val="9"/>
    <w:rsid w:val="00D77565"/>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67F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FE7"/>
  </w:style>
  <w:style w:type="paragraph" w:styleId="Voettekst">
    <w:name w:val="footer"/>
    <w:basedOn w:val="Standaard"/>
    <w:link w:val="VoettekstChar"/>
    <w:uiPriority w:val="99"/>
    <w:unhideWhenUsed/>
    <w:rsid w:val="00067F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4898">
      <w:bodyDiv w:val="1"/>
      <w:marLeft w:val="0"/>
      <w:marRight w:val="0"/>
      <w:marTop w:val="0"/>
      <w:marBottom w:val="0"/>
      <w:divBdr>
        <w:top w:val="none" w:sz="0" w:space="0" w:color="auto"/>
        <w:left w:val="none" w:sz="0" w:space="0" w:color="auto"/>
        <w:bottom w:val="none" w:sz="0" w:space="0" w:color="auto"/>
        <w:right w:val="none" w:sz="0" w:space="0" w:color="auto"/>
      </w:divBdr>
    </w:div>
    <w:div w:id="220557819">
      <w:bodyDiv w:val="1"/>
      <w:marLeft w:val="0"/>
      <w:marRight w:val="0"/>
      <w:marTop w:val="0"/>
      <w:marBottom w:val="0"/>
      <w:divBdr>
        <w:top w:val="none" w:sz="0" w:space="0" w:color="auto"/>
        <w:left w:val="none" w:sz="0" w:space="0" w:color="auto"/>
        <w:bottom w:val="none" w:sz="0" w:space="0" w:color="auto"/>
        <w:right w:val="none" w:sz="0" w:space="0" w:color="auto"/>
      </w:divBdr>
    </w:div>
    <w:div w:id="455611306">
      <w:bodyDiv w:val="1"/>
      <w:marLeft w:val="0"/>
      <w:marRight w:val="0"/>
      <w:marTop w:val="0"/>
      <w:marBottom w:val="0"/>
      <w:divBdr>
        <w:top w:val="none" w:sz="0" w:space="0" w:color="auto"/>
        <w:left w:val="none" w:sz="0" w:space="0" w:color="auto"/>
        <w:bottom w:val="none" w:sz="0" w:space="0" w:color="auto"/>
        <w:right w:val="none" w:sz="0" w:space="0" w:color="auto"/>
      </w:divBdr>
    </w:div>
    <w:div w:id="820580714">
      <w:bodyDiv w:val="1"/>
      <w:marLeft w:val="0"/>
      <w:marRight w:val="0"/>
      <w:marTop w:val="0"/>
      <w:marBottom w:val="0"/>
      <w:divBdr>
        <w:top w:val="none" w:sz="0" w:space="0" w:color="auto"/>
        <w:left w:val="none" w:sz="0" w:space="0" w:color="auto"/>
        <w:bottom w:val="none" w:sz="0" w:space="0" w:color="auto"/>
        <w:right w:val="none" w:sz="0" w:space="0" w:color="auto"/>
      </w:divBdr>
    </w:div>
    <w:div w:id="845287940">
      <w:bodyDiv w:val="1"/>
      <w:marLeft w:val="0"/>
      <w:marRight w:val="0"/>
      <w:marTop w:val="0"/>
      <w:marBottom w:val="0"/>
      <w:divBdr>
        <w:top w:val="none" w:sz="0" w:space="0" w:color="auto"/>
        <w:left w:val="none" w:sz="0" w:space="0" w:color="auto"/>
        <w:bottom w:val="none" w:sz="0" w:space="0" w:color="auto"/>
        <w:right w:val="none" w:sz="0" w:space="0" w:color="auto"/>
      </w:divBdr>
    </w:div>
    <w:div w:id="1627275314">
      <w:bodyDiv w:val="1"/>
      <w:marLeft w:val="0"/>
      <w:marRight w:val="0"/>
      <w:marTop w:val="0"/>
      <w:marBottom w:val="0"/>
      <w:divBdr>
        <w:top w:val="none" w:sz="0" w:space="0" w:color="auto"/>
        <w:left w:val="none" w:sz="0" w:space="0" w:color="auto"/>
        <w:bottom w:val="none" w:sz="0" w:space="0" w:color="auto"/>
        <w:right w:val="none" w:sz="0" w:space="0" w:color="auto"/>
      </w:divBdr>
    </w:div>
    <w:div w:id="16910311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332">
          <w:marLeft w:val="0"/>
          <w:marRight w:val="0"/>
          <w:marTop w:val="0"/>
          <w:marBottom w:val="0"/>
          <w:divBdr>
            <w:top w:val="none" w:sz="0" w:space="0" w:color="auto"/>
            <w:left w:val="none" w:sz="0" w:space="0" w:color="auto"/>
            <w:bottom w:val="none" w:sz="0" w:space="0" w:color="auto"/>
            <w:right w:val="none" w:sz="0" w:space="0" w:color="auto"/>
          </w:divBdr>
        </w:div>
        <w:div w:id="398869527">
          <w:marLeft w:val="0"/>
          <w:marRight w:val="0"/>
          <w:marTop w:val="0"/>
          <w:marBottom w:val="0"/>
          <w:divBdr>
            <w:top w:val="none" w:sz="0" w:space="0" w:color="auto"/>
            <w:left w:val="none" w:sz="0" w:space="0" w:color="auto"/>
            <w:bottom w:val="none" w:sz="0" w:space="0" w:color="auto"/>
            <w:right w:val="none" w:sz="0" w:space="0" w:color="auto"/>
          </w:divBdr>
        </w:div>
        <w:div w:id="1043675214">
          <w:marLeft w:val="0"/>
          <w:marRight w:val="0"/>
          <w:marTop w:val="0"/>
          <w:marBottom w:val="0"/>
          <w:divBdr>
            <w:top w:val="none" w:sz="0" w:space="0" w:color="auto"/>
            <w:left w:val="none" w:sz="0" w:space="0" w:color="auto"/>
            <w:bottom w:val="none" w:sz="0" w:space="0" w:color="auto"/>
            <w:right w:val="none" w:sz="0" w:space="0" w:color="auto"/>
          </w:divBdr>
        </w:div>
        <w:div w:id="750277513">
          <w:marLeft w:val="0"/>
          <w:marRight w:val="0"/>
          <w:marTop w:val="0"/>
          <w:marBottom w:val="0"/>
          <w:divBdr>
            <w:top w:val="none" w:sz="0" w:space="0" w:color="auto"/>
            <w:left w:val="none" w:sz="0" w:space="0" w:color="auto"/>
            <w:bottom w:val="none" w:sz="0" w:space="0" w:color="auto"/>
            <w:right w:val="none" w:sz="0" w:space="0" w:color="auto"/>
          </w:divBdr>
        </w:div>
        <w:div w:id="1133327917">
          <w:marLeft w:val="0"/>
          <w:marRight w:val="0"/>
          <w:marTop w:val="0"/>
          <w:marBottom w:val="0"/>
          <w:divBdr>
            <w:top w:val="none" w:sz="0" w:space="0" w:color="auto"/>
            <w:left w:val="none" w:sz="0" w:space="0" w:color="auto"/>
            <w:bottom w:val="none" w:sz="0" w:space="0" w:color="auto"/>
            <w:right w:val="none" w:sz="0" w:space="0" w:color="auto"/>
          </w:divBdr>
        </w:div>
      </w:divsChild>
    </w:div>
    <w:div w:id="19776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E8B5C7-A78E-425E-8F3A-580372E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6068</TotalTime>
  <Pages>18</Pages>
  <Words>7540</Words>
  <Characters>41474</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48917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Leloup</dc:creator>
  <cp:keywords/>
  <dc:description/>
  <cp:lastModifiedBy>Mathieu Leloup</cp:lastModifiedBy>
  <cp:revision>116</cp:revision>
  <cp:lastPrinted>2020-05-05T07:38:00Z</cp:lastPrinted>
  <dcterms:created xsi:type="dcterms:W3CDTF">2020-03-04T10:05:00Z</dcterms:created>
  <dcterms:modified xsi:type="dcterms:W3CDTF">2020-05-06T09:57:00Z</dcterms:modified>
</cp:coreProperties>
</file>